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br w:type="page"/>
      </w:r>
    </w:p>
    <w:bookmarkStart w:id="85" w:name="sec:dominio-de-aplicaciones-sg"/>
    <w:p>
      <w:pPr>
        <w:pStyle w:val="Heading1"/>
      </w:pPr>
      <w:r>
        <w:t xml:space="preserve">Dominio de Aplicaciones SG</w:t>
      </w:r>
    </w:p>
    <w:bookmarkStart w:id="27" w:name="X8f9641325568d9d8bfd80c63184a90101fb63e4"/>
    <w:p>
      <w:pPr>
        <w:pStyle w:val="Heading2"/>
      </w:pPr>
      <w:r>
        <w:t xml:space="preserve">Análisis de Entorno Sistemas de Información SG</w:t>
      </w:r>
    </w:p>
    <w:p>
      <w:pPr>
        <w:pStyle w:val="BlockText"/>
      </w:pPr>
      <w:r>
        <w:t xml:space="preserve">Arquitectura Empresarial SG.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01"/>
        </w:numPr>
        <w:pStyle w:val="Compact"/>
      </w:pPr>
      <w:r>
        <w:t xml:space="preserve">Sistemas de gestión administrativa y financiera (ADMON, Administrativo y Financiero, SIGA, SAT Web, GLPI):</w:t>
      </w:r>
    </w:p>
    <w:p>
      <w:pPr>
        <w:numPr>
          <w:ilvl w:val="1"/>
          <w:numId w:val="1002"/>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02"/>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02"/>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02"/>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01"/>
        </w:numPr>
        <w:pStyle w:val="Compact"/>
      </w:pPr>
      <w:r>
        <w:t xml:space="preserve">Sistemas de interacción ciudadana y transparencia (Bogotá Te Escucha, Datos para la Transparencia (SATI), EMLAZE):</w:t>
      </w:r>
    </w:p>
    <w:p>
      <w:pPr>
        <w:numPr>
          <w:ilvl w:val="1"/>
          <w:numId w:val="1003"/>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03"/>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03"/>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03"/>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01"/>
        </w:numPr>
        <w:pStyle w:val="Compact"/>
      </w:pPr>
      <w:r>
        <w:t xml:space="preserve">Sistemas de fortalecimiento de capacidades y conocimiento (Bogotá Aprende TIC, DARUMA, GLOBO, SUDIVC, HUMANAPP, SIAB (El COFRE), KOHA, SIVIC, Data Warehouse AVANTI, Gestión Académica):</w:t>
      </w:r>
    </w:p>
    <w:bookmarkStart w:id="20" w:name="sec:relación-con-objetivos"/>
    <w:p>
      <w:pPr>
        <w:pStyle w:val="Heading4"/>
      </w:pPr>
      <w:r>
        <w:t xml:space="preserve">Relación con Objetivos</w:t>
      </w:r>
    </w:p>
    <w:p>
      <w:pPr>
        <w:numPr>
          <w:ilvl w:val="0"/>
          <w:numId w:val="1004"/>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04"/>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04"/>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04"/>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04"/>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20"/>
    <w:bookmarkStart w:id="24" w:name="sec:relación-con-oportunidades"/>
    <w:p>
      <w:pPr>
        <w:pStyle w:val="Heading4"/>
      </w:pPr>
      <w:r>
        <w:t xml:space="preserve">Relación con Oportunidades</w:t>
      </w:r>
    </w:p>
    <w:p>
      <w:pPr>
        <w:numPr>
          <w:ilvl w:val="0"/>
          <w:numId w:val="1005"/>
        </w:numPr>
        <w:pStyle w:val="Compact"/>
      </w:pPr>
      <w:r>
        <w:t xml:space="preserve">GitLab, siendo una plataforma de desarrollo y colaboración, está vinculada con la</w:t>
      </w:r>
      <w:r>
        <w:t xml:space="preserve"> </w:t>
      </w:r>
      <w:r>
        <w:t xml:space="preserve">“</w:t>
      </w:r>
      <w:r>
        <w:t xml:space="preserve">Gestión de alianzas e internacionalización de Bogotá</w:t>
      </w:r>
      <w:r>
        <w:t xml:space="preserve">”</w:t>
      </w:r>
      <w:r>
        <w:t xml:space="preserve">.</w:t>
      </w:r>
    </w:p>
    <w:p>
      <w:pPr>
        <w:numPr>
          <w:ilvl w:val="0"/>
          <w:numId w:val="1005"/>
        </w:numPr>
        <w:pStyle w:val="Compact"/>
      </w:pPr>
      <w:r>
        <w:t xml:space="preserve">El</w:t>
      </w:r>
      <w:r>
        <w:t xml:space="preserve"> </w:t>
      </w:r>
      <w:r>
        <w:t xml:space="preserve">“</w:t>
      </w:r>
      <w:r>
        <w:t xml:space="preserve">Resumen Ejecutivo FASE I.pdf</w:t>
      </w:r>
      <w:r>
        <w:t xml:space="preserve">”</w:t>
      </w:r>
      <w:r>
        <w:t xml:space="preserve"> </w:t>
      </w:r>
      <w:r>
        <w:t xml:space="preserve">menciona la consolidación de Bogotá como una ciudad con</w:t>
      </w:r>
      <w:r>
        <w:t xml:space="preserve"> </w:t>
      </w:r>
      <w:r>
        <w:t xml:space="preserve">“</w:t>
      </w:r>
      <w:r>
        <w:t xml:space="preserve">vocación internacional, atrayendo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GitLab puede ser una herramienta para facilitar la colaboración en proyectos y la gestión de información en el marco de estas alianzas.</w:t>
      </w:r>
    </w:p>
    <w:p>
      <w:pPr>
        <w:numPr>
          <w:ilvl w:val="0"/>
          <w:numId w:val="1005"/>
        </w:numPr>
        <w:pStyle w:val="Compact"/>
      </w:pPr>
      <w:r>
        <w:t xml:space="preserve">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924854"/>
            <wp:effectExtent b="0" l="0" r="0" t="0"/>
            <wp:docPr descr="06.2n2. SI del Analisis de Entorno. Fuente: Propuesta servicios de ingeniería y evaluación de arquitectura Arquitectura de Aplicaciones Secretaria de la Alcaldía de Bogotá (2025)" title="" id="22" name="Picture"/>
            <a:graphic>
              <a:graphicData uri="http://schemas.openxmlformats.org/drawingml/2006/picture">
                <pic:pic>
                  <pic:nvPicPr>
                    <pic:cNvPr descr="images/06.2n2.SIdelAnalisisdeEntorno.png" id="23" name="Picture"/>
                    <pic:cNvPicPr>
                      <a:picLocks noChangeArrowheads="1" noChangeAspect="1"/>
                    </pic:cNvPicPr>
                  </pic:nvPicPr>
                  <pic:blipFill>
                    <a:blip r:embed="rId21"/>
                    <a:stretch>
                      <a:fillRect/>
                    </a:stretch>
                  </pic:blipFill>
                  <pic:spPr bwMode="auto">
                    <a:xfrm>
                      <a:off x="0" y="0"/>
                      <a:ext cx="5943600" cy="6924854"/>
                    </a:xfrm>
                    <a:prstGeom prst="rect">
                      <a:avLst/>
                    </a:prstGeom>
                    <a:noFill/>
                    <a:ln w="9525">
                      <a:noFill/>
                      <a:headEnd/>
                      <a:tailEnd/>
                    </a:ln>
                  </pic:spPr>
                </pic:pic>
              </a:graphicData>
            </a:graphic>
          </wp:inline>
        </w:drawing>
      </w:r>
    </w:p>
    <w:p>
      <w:pPr>
        <w:pStyle w:val="ImageCaption"/>
      </w:pPr>
      <w:r>
        <w:t xml:space="preserve">Figura 1: 06.2n2. SI del Analisis de Entorno.</w:t>
      </w:r>
      <w:r>
        <w:t xml:space="preserve"> </w:t>
      </w:r>
      <w:r>
        <w:rPr>
          <w:iCs/>
          <w:i/>
        </w:rPr>
        <w:t xml:space="preserve">Fuente: Propuesta servicios de ingeniería y evaluación de arquitectura Arquitectura de Aplicaciones Secretaria de la Alcaldía de Bogotá (2025)</w:t>
      </w:r>
    </w:p>
    <w:bookmarkEnd w:id="24"/>
    <w:bookmarkStart w:id="26" w:name="sec:elementos-del-modelo"/>
    <w:p>
      <w:pPr>
        <w:pStyle w:val="Heading3"/>
      </w:pPr>
      <w:r>
        <w:t xml:space="preserve">Elementos del Modelo</w:t>
      </w:r>
    </w:p>
    <w:bookmarkStart w:id="25" w:name="X3cf207602661097339d70b56798d8a9d02fd573"/>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25"/>
    <w:p>
      <w:pPr>
        <w:pStyle w:val="BodyText"/>
      </w:pPr>
    </w:p>
    <w:bookmarkEnd w:id="26"/>
    <w:bookmarkEnd w:id="27"/>
    <w:bookmarkStart w:id="84" w:name="X795f6c874a27ed7c9e7402c08ac85bb47eefe04"/>
    <w:p>
      <w:pPr>
        <w:pStyle w:val="Heading2"/>
      </w:pPr>
      <w:r>
        <w:t xml:space="preserve">Alineación de aplicaciones de software con los procesos SG</w:t>
      </w:r>
    </w:p>
    <w:p>
      <w:pPr>
        <w:pStyle w:val="FirstParagraph"/>
      </w:pPr>
    </w:p>
    <w:p>
      <w:pPr>
        <w:pStyle w:val="BodyText"/>
      </w:pPr>
      <w:r>
        <w:t xml:space="preserve">La Secretaría General cuenta con sistemas de información que soportan las actividades gestionadas por los procesos misionales, estratégicos, de apoyo y de evaluación y control. Del análisis de fuentes y levantamientos de información presentamos la alineación entre las aplicaciones de software de SG, los procesos de negocio y el estado actual.</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Aplicaciones y Procesos. Fuente: Propuesta servicios de ingeniería y evaluación de arquitectura Arquitectura de Aplicaciones Secretaria de la Alcaldía de Bogotá (2025)" title="" id="29" name="Picture"/>
            <a:graphic>
              <a:graphicData uri="http://schemas.openxmlformats.org/drawingml/2006/picture">
                <pic:pic>
                  <pic:nvPicPr>
                    <pic:cNvPr descr="images/06.2n3.a.AplicacionesyProcesos.png" id="30" name="Picture"/>
                    <pic:cNvPicPr>
                      <a:picLocks noChangeArrowheads="1" noChangeAspect="1"/>
                    </pic:cNvPicPr>
                  </pic:nvPicPr>
                  <pic:blipFill>
                    <a:blip r:embed="rId28"/>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06.2n3.a.Aplicaciones y Procesos.</w:t>
      </w:r>
      <w:r>
        <w:t xml:space="preserve"> </w:t>
      </w:r>
      <w:r>
        <w:rPr>
          <w:iCs/>
          <w:i/>
        </w:rPr>
        <w:t xml:space="preserve">Fuente: Propuesta servicios de ingeniería y evaluación de arquitectura Arquitectura de Aplicaciones Secretaria de la Alcaldía de Bogotá (2025)</w:t>
      </w:r>
    </w:p>
    <w:bookmarkStart w:id="31" w:name="sec:divulgación-de-información-pública"/>
    <w:p>
      <w:pPr>
        <w:pStyle w:val="Heading3"/>
      </w:pPr>
      <w:r>
        <w:t xml:space="preserve">Divulgación de Información Pública</w:t>
      </w:r>
    </w:p>
    <w:p>
      <w:pPr>
        <w:pStyle w:val="FirstParagraph"/>
      </w:pPr>
      <w:r>
        <w:t xml:space="preserve">Proceso de negocio para la difusión optimizada de información a través de sistemas digitales.</w:t>
      </w:r>
    </w:p>
    <w:bookmarkEnd w:id="31"/>
    <w:bookmarkStart w:id="32" w:name="Xffdf7e04ff7bc4be95b416eedd8f2c69736ca8c"/>
    <w:p>
      <w:pPr>
        <w:pStyle w:val="Heading3"/>
      </w:pPr>
      <w:r>
        <w:t xml:space="preserve">Evaluación del sistema de control interno</w:t>
      </w:r>
    </w:p>
    <w:p>
      <w:pPr>
        <w:pStyle w:val="FirstParagraph"/>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bookmarkEnd w:id="32"/>
    <w:bookmarkStart w:id="33" w:name="sec:direccionamiento-estratégico"/>
    <w:p>
      <w:pPr>
        <w:pStyle w:val="Heading3"/>
      </w:pPr>
      <w:r>
        <w:t xml:space="preserve">Direccionamiento Estratégico</w:t>
      </w:r>
    </w:p>
    <w:p>
      <w:pPr>
        <w:pStyle w:val="FirstParagraph"/>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bookmarkEnd w:id="33"/>
    <w:bookmarkStart w:id="34" w:name="sec:control-disciplinario"/>
    <w:p>
      <w:pPr>
        <w:pStyle w:val="Heading3"/>
      </w:pPr>
      <w:r>
        <w:t xml:space="preserve">Control Disciplinario</w:t>
      </w:r>
    </w:p>
    <w:p>
      <w:pPr>
        <w:pStyle w:val="FirstParagraph"/>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bookmarkEnd w:id="34"/>
    <w:bookmarkStart w:id="35" w:name="sec:gestión-del-conocimiento"/>
    <w:p>
      <w:pPr>
        <w:pStyle w:val="Heading3"/>
      </w:pPr>
      <w:r>
        <w:t xml:space="preserve">Gestión del Conocimiento</w:t>
      </w:r>
    </w:p>
    <w:p>
      <w:pPr>
        <w:pStyle w:val="FirstParagraph"/>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bookmarkEnd w:id="35"/>
    <w:bookmarkStart w:id="36" w:name="sec:gestión-del-talento-humano"/>
    <w:p>
      <w:pPr>
        <w:pStyle w:val="Heading3"/>
      </w:pPr>
      <w:r>
        <w:t xml:space="preserve">Gestión del Talento Humano</w:t>
      </w:r>
    </w:p>
    <w:p>
      <w:pPr>
        <w:pStyle w:val="FirstParagraph"/>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bookmarkEnd w:id="36"/>
    <w:bookmarkStart w:id="37" w:name="Xdcf30deeacb83d50dd53f0fc22f787ea15a836d"/>
    <w:p>
      <w:pPr>
        <w:pStyle w:val="Heading3"/>
      </w:pPr>
      <w:r>
        <w:t xml:space="preserve">Prestación de trámites y servicios a la ciudadanía</w:t>
      </w:r>
    </w:p>
    <w:p>
      <w:pPr>
        <w:pStyle w:val="FirstParagraph"/>
      </w:pPr>
      <w:r>
        <w:t xml:space="preserve">Proceso central para la interacción con los ciudadanos.</w:t>
      </w:r>
    </w:p>
    <w:bookmarkEnd w:id="37"/>
    <w:bookmarkStart w:id="38" w:name="X5eb31501311465b458ea77099c9ded67a9909c6"/>
    <w:p>
      <w:pPr>
        <w:pStyle w:val="Heading3"/>
      </w:pPr>
      <w:r>
        <w:t xml:space="preserve">Gestión estratégica de comunicación e información</w:t>
      </w:r>
    </w:p>
    <w:p>
      <w:pPr>
        <w:pStyle w:val="FirstParagraph"/>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bookmarkEnd w:id="38"/>
    <w:bookmarkStart w:id="39" w:name="sec:gestión-financiera"/>
    <w:p>
      <w:pPr>
        <w:pStyle w:val="Heading3"/>
      </w:pPr>
      <w:r>
        <w:t xml:space="preserve">Gestión Financiera</w:t>
      </w:r>
    </w:p>
    <w:p>
      <w:pPr>
        <w:pStyle w:val="FirstParagraph"/>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bookmarkEnd w:id="39"/>
    <w:bookmarkStart w:id="40" w:name="sec:gestión-de-contratación"/>
    <w:p>
      <w:pPr>
        <w:pStyle w:val="Heading3"/>
      </w:pPr>
      <w:r>
        <w:t xml:space="preserve">Gestión de Contratación</w:t>
      </w:r>
    </w:p>
    <w:p>
      <w:pPr>
        <w:pStyle w:val="FirstParagraph"/>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bookmarkEnd w:id="40"/>
    <w:bookmarkStart w:id="41" w:name="X33733071f3fc2e7bfa3ab5dfdfe0de093ce6bad"/>
    <w:p>
      <w:pPr>
        <w:pStyle w:val="Heading3"/>
      </w:pPr>
      <w:r>
        <w:t xml:space="preserve">Gobierno Abierto y Relacionamiento con la Ciudadanía</w:t>
      </w:r>
    </w:p>
    <w:p>
      <w:pPr>
        <w:pStyle w:val="FirstParagraph"/>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bookmarkEnd w:id="41"/>
    <w:bookmarkStart w:id="42" w:name="sec:gestión-de-recursos-físicos"/>
    <w:p>
      <w:pPr>
        <w:pStyle w:val="Heading3"/>
      </w:pPr>
      <w:r>
        <w:t xml:space="preserve">Gestión de Recursos Físicos</w:t>
      </w:r>
    </w:p>
    <w:p>
      <w:pPr>
        <w:pStyle w:val="FirstParagraph"/>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bookmarkEnd w:id="42"/>
    <w:bookmarkStart w:id="43" w:name="sec:procesos-de-apoyo-a-la-gestión"/>
    <w:p>
      <w:pPr>
        <w:pStyle w:val="Heading3"/>
      </w:pPr>
      <w:r>
        <w:t xml:space="preserve">Procesos de apoyo a la gestión</w:t>
      </w:r>
    </w:p>
    <w:p>
      <w:pPr>
        <w:pStyle w:val="FirstParagraph"/>
      </w:pPr>
      <w:r>
        <w:t xml:space="preserve">Procesos internos que facilitan la operación de la entidad.</w:t>
      </w:r>
    </w:p>
    <w:bookmarkEnd w:id="43"/>
    <w:bookmarkStart w:id="44" w:name="sec:gestión-jurídica"/>
    <w:p>
      <w:pPr>
        <w:pStyle w:val="Heading3"/>
      </w:pPr>
      <w:r>
        <w:t xml:space="preserve">Gestión Jurídica</w:t>
      </w:r>
    </w:p>
    <w:p>
      <w:pPr>
        <w:pStyle w:val="FirstParagraph"/>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bookmarkEnd w:id="44"/>
    <w:bookmarkStart w:id="45" w:name="X140be3f316956ab45b9c38bcb577ba031b2dad9"/>
    <w:p>
      <w:pPr>
        <w:pStyle w:val="Heading3"/>
      </w:pPr>
      <w:r>
        <w:t xml:space="preserve">Análisis de Datos para Toma de Decisiones</w:t>
      </w:r>
    </w:p>
    <w:p>
      <w:pPr>
        <w:pStyle w:val="FirstParagraph"/>
      </w:pPr>
      <w:r>
        <w:t xml:space="preserve">Proceso de negocio que utiliza software especializado para el análisis de datos.</w:t>
      </w:r>
    </w:p>
    <w:bookmarkEnd w:id="45"/>
    <w:bookmarkStart w:id="46" w:name="X4a7261ab7bd2accd9ed85a0e0e675f602c269d8"/>
    <w:p>
      <w:pPr>
        <w:pStyle w:val="Heading3"/>
      </w:pPr>
      <w:r>
        <w:t xml:space="preserve">Gestión de Servicios Administrativos y Tecnológicos</w:t>
      </w:r>
    </w:p>
    <w:p>
      <w:pPr>
        <w:pStyle w:val="FirstParagraph"/>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bookmarkEnd w:id="46"/>
    <w:bookmarkStart w:id="47" w:name="sec:paz-víctimas-y-reconciliación"/>
    <w:p>
      <w:pPr>
        <w:pStyle w:val="Heading3"/>
      </w:pPr>
      <w:r>
        <w:t xml:space="preserve">Paz, Víctimas y Reconciliación</w:t>
      </w:r>
    </w:p>
    <w:p>
      <w:pPr>
        <w:pStyle w:val="FirstParagraph"/>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bookmarkEnd w:id="47"/>
    <w:bookmarkStart w:id="48" w:name="X38c705f0f81177d8dd73b6db46f016faa78b207"/>
    <w:p>
      <w:pPr>
        <w:pStyle w:val="Heading3"/>
      </w:pPr>
      <w:r>
        <w:t xml:space="preserve">Fortalecimiento de la Gestión Pública</w:t>
      </w:r>
    </w:p>
    <w:p>
      <w:pPr>
        <w:pStyle w:val="FirstParagraph"/>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bookmarkEnd w:id="48"/>
    <w:bookmarkStart w:id="49" w:name="Xc55d51a0d38627deac49f8c35127cea17a89c50"/>
    <w:p>
      <w:pPr>
        <w:pStyle w:val="Heading3"/>
      </w:pPr>
      <w:r>
        <w:t xml:space="preserve">Gestión de alianzas e internacionalización de Bogotá</w:t>
      </w:r>
    </w:p>
    <w:p>
      <w:pPr>
        <w:pStyle w:val="FirstParagraph"/>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bookmarkEnd w:id="49"/>
    <w:bookmarkStart w:id="50" w:name="sec:gestión-de-información-interna"/>
    <w:p>
      <w:pPr>
        <w:pStyle w:val="Heading3"/>
      </w:pPr>
      <w:r>
        <w:t xml:space="preserve">Gestión de Información Interna</w:t>
      </w:r>
    </w:p>
    <w:p>
      <w:pPr>
        <w:pStyle w:val="FirstParagraph"/>
      </w:pPr>
      <w:r>
        <w:t xml:space="preserve">Proceso de recolección, procesamiento y distribución de información dentro de la entidad.</w:t>
      </w:r>
    </w:p>
    <w:bookmarkEnd w:id="50"/>
    <w:bookmarkStart w:id="51" w:name="sec:gestión-de-trámites-ciudadanos"/>
    <w:p>
      <w:pPr>
        <w:pStyle w:val="Heading3"/>
      </w:pPr>
      <w:r>
        <w:t xml:space="preserve">Gestión de Trámites Ciudadanos</w:t>
      </w:r>
    </w:p>
    <w:p>
      <w:pPr>
        <w:pStyle w:val="FirstParagraph"/>
      </w:pPr>
      <w:r>
        <w:t xml:space="preserve">Proceso de atención y resolución de solicitudes y gestiones de los ciudadanos.</w:t>
      </w:r>
    </w:p>
    <w:bookmarkEnd w:id="51"/>
    <w:bookmarkStart w:id="52"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52"/>
    <w:bookmarkStart w:id="53"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53"/>
    <w:bookmarkStart w:id="5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54"/>
    <w:bookmarkStart w:id="5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55"/>
    <w:bookmarkStart w:id="5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56"/>
    <w:bookmarkStart w:id="57"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57"/>
    <w:bookmarkStart w:id="58" w:name="sec:sudivc"/>
    <w:p>
      <w:pPr>
        <w:pStyle w:val="Heading3"/>
      </w:pPr>
      <w:r>
        <w:t xml:space="preserve">SUDIVC</w:t>
      </w:r>
    </w:p>
    <w:p>
      <w:pPr>
        <w:pStyle w:val="FirstParagraph"/>
      </w:pPr>
      <w:r>
        <w:t xml:space="preserve">Sistema Unificado Distrital de Inspección, Vigilancia y Control – SUDIVC.</w:t>
      </w:r>
    </w:p>
    <w:bookmarkEnd w:id="58"/>
    <w:bookmarkStart w:id="59"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59"/>
    <w:bookmarkStart w:id="60" w:name="sec:sat-web"/>
    <w:p>
      <w:pPr>
        <w:pStyle w:val="Heading3"/>
      </w:pPr>
      <w:r>
        <w:t xml:space="preserve">SAT Web</w:t>
      </w:r>
    </w:p>
    <w:p>
      <w:pPr>
        <w:pStyle w:val="FirstParagraph"/>
      </w:pPr>
      <w:r>
        <w:t xml:space="preserve">Sistema de Asignación de Turnos en los puntos de atención a la ciudadanía (Red Cade).</w:t>
      </w:r>
    </w:p>
    <w:bookmarkEnd w:id="60"/>
    <w:bookmarkStart w:id="61"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61"/>
    <w:bookmarkStart w:id="62"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62"/>
    <w:bookmarkStart w:id="63"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63"/>
    <w:bookmarkStart w:id="64"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64"/>
    <w:bookmarkStart w:id="65"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65"/>
    <w:bookmarkStart w:id="66"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66"/>
    <w:bookmarkStart w:id="67" w:name="sec:siga"/>
    <w:p>
      <w:pPr>
        <w:pStyle w:val="Heading3"/>
      </w:pPr>
      <w:r>
        <w:t xml:space="preserve">SIGA</w:t>
      </w:r>
    </w:p>
    <w:p>
      <w:pPr>
        <w:pStyle w:val="FirstParagraph"/>
      </w:pPr>
      <w:r>
        <w:t xml:space="preserve">Sistema Integrado de Gestión Documental, Archivo y Correspondencia.</w:t>
      </w:r>
    </w:p>
    <w:bookmarkEnd w:id="67"/>
    <w:bookmarkStart w:id="68"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68"/>
    <w:bookmarkStart w:id="69" w:name="sec:koha"/>
    <w:p>
      <w:pPr>
        <w:pStyle w:val="Heading3"/>
      </w:pPr>
      <w:r>
        <w:t xml:space="preserve">KOHA</w:t>
      </w:r>
    </w:p>
    <w:p>
      <w:pPr>
        <w:pStyle w:val="FirstParagraph"/>
      </w:pPr>
      <w:r>
        <w:t xml:space="preserve">Sistema Integrado de Gestión de Bibliotecas. Relacionado con la Gestión del conocimiento.</w:t>
      </w:r>
    </w:p>
    <w:bookmarkEnd w:id="69"/>
    <w:bookmarkStart w:id="70"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70"/>
    <w:bookmarkStart w:id="71" w:name="sec:chat-bot"/>
    <w:p>
      <w:pPr>
        <w:pStyle w:val="Heading3"/>
      </w:pPr>
      <w:r>
        <w:t xml:space="preserve">Chat-Bot</w:t>
      </w:r>
    </w:p>
    <w:p>
      <w:pPr>
        <w:pStyle w:val="FirstParagraph"/>
      </w:pPr>
      <w:r>
        <w:t xml:space="preserve">Canal web de atención a ciudadanía.</w:t>
      </w:r>
    </w:p>
    <w:bookmarkEnd w:id="71"/>
    <w:bookmarkStart w:id="72" w:name="sec:comisiones"/>
    <w:p>
      <w:pPr>
        <w:pStyle w:val="Heading3"/>
      </w:pPr>
      <w:r>
        <w:t xml:space="preserve">Comisiones</w:t>
      </w:r>
    </w:p>
    <w:p>
      <w:pPr>
        <w:pStyle w:val="FirstParagraph"/>
      </w:pPr>
      <w:r>
        <w:t xml:space="preserve">Sesión levantamiento no. 1.</w:t>
      </w:r>
    </w:p>
    <w:bookmarkEnd w:id="72"/>
    <w:bookmarkStart w:id="73" w:name="sec:integrador-de-servicios-ciudadanos"/>
    <w:p>
      <w:pPr>
        <w:pStyle w:val="Heading3"/>
      </w:pPr>
      <w:r>
        <w:t xml:space="preserve">Integrador de Servicios Ciudadanos</w:t>
      </w:r>
    </w:p>
    <w:p>
      <w:pPr>
        <w:pStyle w:val="FirstParagraph"/>
      </w:pPr>
      <w:r>
        <w:t xml:space="preserve">Plataforma unificada para acceder a servicios y trámites ciudadanos.</w:t>
      </w:r>
    </w:p>
    <w:bookmarkEnd w:id="73"/>
    <w:bookmarkStart w:id="74" w:name="sec:línea-195"/>
    <w:p>
      <w:pPr>
        <w:pStyle w:val="Heading3"/>
      </w:pPr>
      <w:r>
        <w:t xml:space="preserve">Línea 195</w:t>
      </w:r>
    </w:p>
    <w:p>
      <w:pPr>
        <w:pStyle w:val="FirstParagraph"/>
      </w:pPr>
      <w:r>
        <w:t xml:space="preserve">Canal telefónico de atención a ciudadanía.</w:t>
      </w:r>
    </w:p>
    <w:bookmarkEnd w:id="74"/>
    <w:bookmarkStart w:id="75" w:name="sec:moviapp"/>
    <w:p>
      <w:pPr>
        <w:pStyle w:val="Heading3"/>
      </w:pPr>
      <w:r>
        <w:t xml:space="preserve">MoviApp</w:t>
      </w:r>
    </w:p>
    <w:p>
      <w:pPr>
        <w:pStyle w:val="FirstParagraph"/>
      </w:pPr>
      <w:r>
        <w:t xml:space="preserve">Canal móvil de atención a ciudadanía. Sesión levantamiento no. 2.</w:t>
      </w:r>
    </w:p>
    <w:bookmarkEnd w:id="75"/>
    <w:bookmarkStart w:id="76" w:name="sec:office-365"/>
    <w:p>
      <w:pPr>
        <w:pStyle w:val="Heading3"/>
      </w:pPr>
      <w:r>
        <w:t xml:space="preserve">Office 365</w:t>
      </w:r>
    </w:p>
    <w:p>
      <w:pPr>
        <w:pStyle w:val="FirstParagraph"/>
      </w:pPr>
      <w:r>
        <w:t xml:space="preserve">Herramientas de ofimática y colaboración SG.</w:t>
      </w:r>
    </w:p>
    <w:bookmarkEnd w:id="76"/>
    <w:bookmarkStart w:id="77" w:name="sec:pandora"/>
    <w:p>
      <w:pPr>
        <w:pStyle w:val="Heading3"/>
      </w:pPr>
      <w:r>
        <w:t xml:space="preserve">PANDORA</w:t>
      </w:r>
    </w:p>
    <w:p>
      <w:pPr>
        <w:pStyle w:val="FirstParagraph"/>
      </w:pPr>
      <w:r>
        <w:t xml:space="preserve">Implementación de temas precontractual y planeación.</w:t>
      </w:r>
    </w:p>
    <w:bookmarkEnd w:id="77"/>
    <w:bookmarkStart w:id="78"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78"/>
    <w:bookmarkStart w:id="79" w:name="sec:portal-bogotá-capital-digital-1"/>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79"/>
    <w:bookmarkStart w:id="80" w:name="sec:datos-para-transparencia-sati-1"/>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80"/>
    <w:bookmarkStart w:id="81" w:name="sec:sistema-de-participación-ciudadana"/>
    <w:p>
      <w:pPr>
        <w:pStyle w:val="Heading3"/>
      </w:pPr>
      <w:r>
        <w:t xml:space="preserve">Sistema de Participación Ciudadana</w:t>
      </w:r>
    </w:p>
    <w:p>
      <w:pPr>
        <w:pStyle w:val="FirstParagraph"/>
      </w:pPr>
      <w:r>
        <w:t xml:space="preserve">Componente de aplicación para facilitar la interacción y el acercamiento (realimentación) de los ciudadanos.</w:t>
      </w:r>
    </w:p>
    <w:bookmarkEnd w:id="81"/>
    <w:bookmarkStart w:id="82"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82"/>
    <w:bookmarkStart w:id="83" w:name="sec:supercade-virtual"/>
    <w:p>
      <w:pPr>
        <w:pStyle w:val="Heading3"/>
      </w:pPr>
      <w:r>
        <w:t xml:space="preserve">SuperCADE Virtual</w:t>
      </w:r>
    </w:p>
    <w:p>
      <w:pPr>
        <w:pStyle w:val="FirstParagraph"/>
      </w:pPr>
      <w:r>
        <w:t xml:space="preserve">Red de canales presenciales de atención a ciudadanía.</w:t>
      </w:r>
    </w:p>
    <w:bookmarkEnd w:id="83"/>
    <w:bookmarkEnd w:id="84"/>
    <w:bookmarkEnd w:id="8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2025-08-05T18:13:33Z</dcterms:created>
  <dcterms:modified xsi:type="dcterms:W3CDTF">2025-08-05T18:13:33Z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