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1.aeba23a - Compilación para entrega: accion-actualizacionContd (5ee16a5) - Fri, 25 Jul 2025 01:30:26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1.475b4fa - Compilación para entrega: accion-actualizacionContd (505d6ad) - Fri, 25 Jul 2025 01:20:40 +0000</w:t>
      </w:r>
    </w:p>
    <w:p>
      <w:pPr>
        <w:pStyle w:val="BodyText"/>
      </w:pPr>
      <w:r>
        <w:t xml:space="preserve">1.5690118 - Compilación para entrega: accion-actualizacionContd (90c339b) - Fri, 25 Jul 2025 01:13:23 +0000</w:t>
      </w:r>
    </w:p>
    <w:p>
      <w:pPr>
        <w:pStyle w:val="BodyText"/>
      </w:pPr>
      <w:r>
        <w:t xml:space="preserve">1.9e12a2c - Compilación para entrega: accion-actualizacionContd (d5a21f6) - Fri, 25 Jul 2025 01:02:09 +0000</w:t>
      </w:r>
    </w:p>
    <w:p>
      <w:pPr>
        <w:pStyle w:val="BodyText"/>
      </w:pPr>
      <w:r>
        <w:t xml:space="preserve">1.5387c6c - Compilación para entrega: accion-actualizacionContd (83513bd) - Fri, 25 Jul 2025 00:54:39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3"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2"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39"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p>
      <w:pPr>
        <w:pStyle w:val="BodyText"/>
      </w:pPr>
      <w:r>
        <w:t xml:space="preserve">Necesidades de Transformación Digital y Tecnológica</w:t>
      </w:r>
      <w:r>
        <w:t xml:space="preserve"> </w:t>
      </w: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w:t>
      </w:r>
    </w:p>
    <w:p>
      <w:pPr>
        <w:numPr>
          <w:ilvl w:val="0"/>
          <w:numId w:val="1012"/>
        </w:numPr>
      </w:pPr>
      <w:r>
        <w:t xml:space="preserve">(Necesidad) la Modernización y Eficiencia Pública (Driver)</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obsoleta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Automatizar trámites y estandarizar la gestión y gobernanza de datos públicos.</w:t>
      </w:r>
    </w:p>
    <w:p>
      <w:pPr>
        <w:numPr>
          <w:ilvl w:val="0"/>
          <w:numId w:val="1012"/>
        </w:numPr>
      </w:pPr>
      <w:r>
        <w:t xml:space="preserve">Adquirir software especializado en análisis de datos para mejorar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la gestión de las cargas de trabajo es una necesidad identificada para este eje.</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p>
      <w:pPr>
        <w:pStyle w:val="FirstParagraph"/>
      </w:pPr>
      <w:r>
        <w:t xml:space="preserve">Necesidades Específicas del Dominio de Aplicaciones de software</w:t>
      </w:r>
      <w:r>
        <w:t xml:space="preserve"> </w:t>
      </w:r>
      <w:r>
        <w:t xml:space="preserve">Esta capa se refiere al comportamiento de las aplicaciones que apoyan el negocio, la estructura de esas aplicaciones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9"/>
    <w:bookmarkStart w:id="40"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 [2].</w:t>
      </w:r>
    </w:p>
    <w:p>
      <w:pPr>
        <w:numPr>
          <w:ilvl w:val="0"/>
          <w:numId w:val="1014"/>
        </w:numPr>
        <w:pStyle w:val="Compact"/>
      </w:pPr>
      <w:r>
        <w:t xml:space="preserve">Equipos tecnológicos obsoletos que generan dificultad en la ejecución de las actividades que desarrolla la entidad [3].</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 [4].</w:t>
      </w:r>
    </w:p>
    <w:p>
      <w:pPr>
        <w:numPr>
          <w:ilvl w:val="0"/>
          <w:numId w:val="1014"/>
        </w:numPr>
        <w:pStyle w:val="Compact"/>
      </w:pPr>
      <w:r>
        <w:t xml:space="preserve">Insuficiencia en la capacidad de las herramientas tecnológicas de la entidad que pueden obstaculizar la obtención y descarga de material probatorio relevante para el adelantamiento de procesos disciplinarios [5].</w:t>
      </w:r>
    </w:p>
    <w:p>
      <w:pPr>
        <w:numPr>
          <w:ilvl w:val="0"/>
          <w:numId w:val="1014"/>
        </w:numPr>
        <w:pStyle w:val="Compact"/>
      </w:pPr>
      <w:r>
        <w:t xml:space="preserve">Falta de un software que le permita a la entidad extraer una información dinámica que sirva como insumo para la toma de decisiones [6].</w:t>
      </w:r>
    </w:p>
    <w:p>
      <w:pPr>
        <w:numPr>
          <w:ilvl w:val="0"/>
          <w:numId w:val="1014"/>
        </w:numPr>
        <w:pStyle w:val="Compact"/>
      </w:pPr>
      <w:r>
        <w:t xml:space="preserve">Se realizan análisis descriptivos, pero no predictivos y prospectivos de los resultados de la gestión de la entidad, lo que dificulta la toma de decisiones basada en evidencia [7].</w:t>
      </w:r>
    </w:p>
    <w:p>
      <w:pPr>
        <w:numPr>
          <w:ilvl w:val="0"/>
          <w:numId w:val="1014"/>
        </w:numPr>
        <w:pStyle w:val="Compact"/>
      </w:pPr>
      <w:r>
        <w:t xml:space="preserve">Falta de personal para actualizar las plataformas tecnológicas, lo que genera retrasos en la operación de la entidad [8].</w:t>
      </w:r>
    </w:p>
    <w:p>
      <w:pPr>
        <w:numPr>
          <w:ilvl w:val="0"/>
          <w:numId w:val="1014"/>
        </w:numPr>
        <w:pStyle w:val="Compact"/>
      </w:pPr>
      <w:r>
        <w:t xml:space="preserve">Deficiente conectividad y falta de interoperabilidad de las plataformas tecnológicas [8].</w:t>
      </w:r>
    </w:p>
    <w:p>
      <w:pPr>
        <w:numPr>
          <w:ilvl w:val="0"/>
          <w:numId w:val="1014"/>
        </w:numPr>
        <w:pStyle w:val="Compact"/>
      </w:pPr>
      <w:r>
        <w:t xml:space="preserve">Cambios en las plataformas tecnológicas que no interactúan con las anteriores, generando posibles pérdidas de información y reprocesos [9].</w:t>
      </w:r>
    </w:p>
    <w:p>
      <w:pPr>
        <w:numPr>
          <w:ilvl w:val="0"/>
          <w:numId w:val="1014"/>
        </w:numPr>
        <w:pStyle w:val="Compact"/>
      </w:pPr>
      <w:r>
        <w:t xml:space="preserve">La inestabilidad de la conectividad, indisponibilidad de servidores de información y vulnerabilidad en la seguridad informática, lo que puede comprometer la operatividad, la integridad de los datos críticos de la entidad y el cumplimiento de las metas [10].</w:t>
      </w:r>
    </w:p>
    <w:p>
      <w:pPr>
        <w:numPr>
          <w:ilvl w:val="0"/>
          <w:numId w:val="1014"/>
        </w:numPr>
        <w:pStyle w:val="Compact"/>
      </w:pPr>
      <w:r>
        <w:t xml:space="preserve">La vulneración de la inviolabilidad de acceso a cuentas de correo institucionales y aplicativos, lo que afecta la reserva de la información relacionada con el trámite de procesos disciplinarios [10].</w:t>
      </w:r>
    </w:p>
    <w:p>
      <w:pPr>
        <w:numPr>
          <w:ilvl w:val="0"/>
          <w:numId w:val="1014"/>
        </w:numPr>
        <w:pStyle w:val="Compact"/>
      </w:pPr>
      <w:r>
        <w:t xml:space="preserve">Obsolescencia tecnológica que implica la necesidad de renovación de los equipos y dificulta la prestación de los servicios de la entidad [11].</w:t>
      </w:r>
    </w:p>
    <w:p>
      <w:pPr>
        <w:numPr>
          <w:ilvl w:val="0"/>
          <w:numId w:val="1014"/>
        </w:numPr>
        <w:pStyle w:val="Compact"/>
      </w:pPr>
      <w:r>
        <w:t xml:space="preserve">Los altos costos de la tecnología pueden limitar la capacidad de la entidad para implementar y mantener sistemas avanzados y eficientes [11].</w:t>
      </w:r>
    </w:p>
    <w:p>
      <w:pPr>
        <w:numPr>
          <w:ilvl w:val="0"/>
          <w:numId w:val="1014"/>
        </w:numPr>
        <w:pStyle w:val="Compact"/>
      </w:pPr>
      <w:r>
        <w:t xml:space="preserve">Materialización de riesgos asociados a ataques cibernéticos, e ingeniería social, suplantación de identidad, entre otros, que ponen en riesgo la seguridad de la información y los documentos (pérdida de la confidencialidad, integridad y disponibilidad de la información) y afectan la continuidad operativa [12].</w:t>
      </w:r>
    </w:p>
    <w:p>
      <w:pPr>
        <w:numPr>
          <w:ilvl w:val="0"/>
          <w:numId w:val="1014"/>
        </w:numPr>
        <w:pStyle w:val="Compact"/>
      </w:pPr>
      <w:r>
        <w:t xml:space="preserve">Estas debilidades resaltan la necesidad de modernizar la infraestructura y sistemas tecnológicos, mejorar la gestión de datos para análisis predictivos, fortalecer la ciberseguridad, y asegurar la capacitación y el personal adecuado para la gestión tecnológica [2-12].</w:t>
      </w:r>
    </w:p>
    <w:bookmarkEnd w:id="40"/>
    <w:bookmarkStart w:id="41"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Fuente: Sección</w:t>
      </w:r>
      <w:r>
        <w:t xml:space="preserve"> </w:t>
      </w:r>
      <w:r>
        <w:t xml:space="preserve">“</w:t>
      </w:r>
      <w:r>
        <w:t xml:space="preserve">10.15.1 Resultado de la gestión de las oportunidades vigencia 2023</w:t>
      </w:r>
      <w:r>
        <w:t xml:space="preserve">”</w:t>
      </w:r>
      <w:r>
        <w:t xml:space="preserve"> </w:t>
      </w:r>
      <w:r>
        <w:t xml:space="preserve">del documento “contexto_estrategico_-4202000-ot-066-_v05.pdf” [1-13],</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[15]. Bogotá ya ha empezado a incorporar tecnologías como IA, Big Data e Internet de las Cosas (IoT) en la planificación urbana y la prestación de servicios [16].</w:t>
      </w:r>
    </w:p>
    <w:p>
      <w:pPr>
        <w:numPr>
          <w:ilvl w:val="1"/>
          <w:numId w:val="1016"/>
        </w:numPr>
        <w:pStyle w:val="Compact"/>
      </w:pPr>
      <w:r>
        <w:t xml:space="preserve">Una oportunidad es la adquisición de software especializado en análisis de datos para la toma de decisiones que ya poseen otras entidades [17].</w:t>
      </w:r>
    </w:p>
    <w:p>
      <w:pPr>
        <w:numPr>
          <w:ilvl w:val="0"/>
          <w:numId w:val="1015"/>
        </w:numPr>
      </w:pPr>
      <w:r>
        <w:t xml:space="preserve">Integración y automatización de procesos,</w:t>
      </w:r>
    </w:p>
    <w:p>
      <w:pPr>
        <w:numPr>
          <w:ilvl w:val="1"/>
          <w:numId w:val="1017"/>
        </w:numPr>
        <w:pStyle w:val="Compact"/>
      </w:pPr>
      <w:r>
        <w:t xml:space="preserve">Se identifican oportunidades para tener herramientas que evalúen el soporte tecnológico personalizado, flexible y configurable para las operaciones de los procesos jurídicos [26].</w:t>
      </w:r>
    </w:p>
    <w:p>
      <w:pPr>
        <w:numPr>
          <w:ilvl w:val="1"/>
          <w:numId w:val="1017"/>
        </w:numPr>
        <w:pStyle w:val="Compact"/>
      </w:pPr>
      <w:r>
        <w:t xml:space="preserve">Se buscan mejores controles e integración del sistema de régimen legal de la Secretaría Jurídica [27].</w:t>
      </w:r>
    </w:p>
    <w:p>
      <w:pPr>
        <w:numPr>
          <w:ilvl w:val="1"/>
          <w:numId w:val="1017"/>
        </w:numPr>
        <w:pStyle w:val="Compact"/>
      </w:pPr>
      <w:r>
        <w:t xml:space="preserve">También se necesitan mejores controles e integración de los sistemas de información como, los sistemas GLOBO (de gestión internacional), el sistema de proyectos GLPI, entre otros</w:t>
      </w:r>
    </w:p>
    <w:p>
      <w:pPr>
        <w:numPr>
          <w:ilvl w:val="0"/>
          <w:numId w:val="1015"/>
        </w:numPr>
      </w:pPr>
      <w:r>
        <w:t xml:space="preserve">Fortalecimiento de la seguridad digital,</w:t>
      </w:r>
    </w:p>
    <w:p>
      <w:pPr>
        <w:numPr>
          <w:ilvl w:val="1"/>
          <w:numId w:val="1018"/>
        </w:numPr>
        <w:pStyle w:val="Compact"/>
      </w:pPr>
      <w:r>
        <w:t xml:space="preserve">Una oportunidad es la adquisición de software especializado en análisis de datos para la toma de decisiones que ya poseen otras entidades [17].</w:t>
      </w:r>
    </w:p>
    <w:p>
      <w:pPr>
        <w:numPr>
          <w:ilvl w:val="0"/>
          <w:numId w:val="1015"/>
        </w:numPr>
      </w:pPr>
      <w:r>
        <w:t xml:space="preserve">Mejora de la comunicación pública a través de medios digitales,</w:t>
      </w:r>
    </w:p>
    <w:p>
      <w:pPr>
        <w:numPr>
          <w:ilvl w:val="1"/>
          <w:numId w:val="1019"/>
        </w:numPr>
        <w:pStyle w:val="Compact"/>
      </w:pPr>
      <w:r>
        <w:t xml:space="preserve">Se busca la consolidación de herramientas, canales e información para fortalecer la oferta y celeridad de servicios y la participación ciudadana [11]. Esto incluye el seguimiento a canales de atención virtual como SuperCADE Virtual, chat, chat-Bot y videollamadas de la línea 195 [11].</w:t>
      </w:r>
    </w:p>
    <w:p>
      <w:pPr>
        <w:numPr>
          <w:ilvl w:val="1"/>
          <w:numId w:val="1019"/>
        </w:numPr>
        <w:pStyle w:val="Compact"/>
      </w:pPr>
      <w:r>
        <w:t xml:space="preserve">Se busca optimizar los procesos de recolección, análisis y divulgación de la información mediante la implementación de sistemas de información que contengan la automatización de la recolección de datos y el uso de herramientas analíticas [15].</w:t>
      </w:r>
    </w:p>
    <w:p>
      <w:pPr>
        <w:numPr>
          <w:ilvl w:val="1"/>
          <w:numId w:val="1019"/>
        </w:numPr>
        <w:pStyle w:val="Compact"/>
      </w:pPr>
      <w:r>
        <w:t xml:space="preserve">Una noticia reciente destaca que el Distrito unifica en el portal Bogotá su oferta de trámites y servicios, el cual permite acceder a más de 1.400 trámites y servicios y realizar pagos en línea (no tributarios) y agendamiento de citas en la RedCADE desde casa [40]. Esto representa una mejora significativa en la accesibilidad y eficiencia de los servicios digitales para la ciudadanía.</w:t>
      </w:r>
    </w:p>
    <w:p>
      <w:pPr>
        <w:numPr>
          <w:ilvl w:val="0"/>
          <w:numId w:val="1015"/>
        </w:numPr>
      </w:pPr>
      <w:r>
        <w:t xml:space="preserve">Capacitación en nuevas tecnologías (…).</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20"/>
        </w:numPr>
        <w:pStyle w:val="Compact"/>
      </w:pPr>
      <w:r>
        <w:t xml:space="preserve">Se espera que la Arquitectura Empresarial fortalezca la transparencia y rendición de cuentas al estandarizar procesos y sistemas de información, aumentando la confianza de la ciudadanía en la Gestión Pública [25].</w:t>
      </w:r>
    </w:p>
    <w:p>
      <w:pPr>
        <w:numPr>
          <w:ilvl w:val="1"/>
          <w:numId w:val="1020"/>
        </w:numPr>
        <w:pStyle w:val="Compact"/>
      </w:pPr>
      <w:r>
        <w:t xml:space="preserve">Es requerido que este ejercicio beneficie a la SG con la entrega de activos como hojas de ruta, catálogos y caracterización de los sistemas de información, matrices de interacción, entre otros.</w:t>
      </w:r>
    </w:p>
    <w:bookmarkEnd w:id="41"/>
    <w:bookmarkEnd w:id="42"/>
    <w:bookmarkEnd w:id="43"/>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2025-07-25T01:35:30Z</dcterms:created>
  <dcterms:modified xsi:type="dcterms:W3CDTF">2025-07-25T01:35:30Z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