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numPr>
          <w:ilvl w:val="0"/>
          <w:numId w:val="1029"/>
        </w:numPr>
        <w:pStyle w:val="Compact"/>
      </w:pPr>
      <w:r>
        <w:t xml:space="preserve">Sistemas de gestión administrativa y financiera (Administrativo y Financiero, SIGA, SAT Web, GLPI):</w:t>
      </w:r>
    </w:p>
    <w:p>
      <w:pPr>
        <w:numPr>
          <w:ilvl w:val="1"/>
          <w:numId w:val="1030"/>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0"/>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0"/>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0"/>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9"/>
        </w:numPr>
        <w:pStyle w:val="Compact"/>
      </w:pPr>
      <w:r>
        <w:t xml:space="preserve">Sistemas de interacción ciudadana y transparencia (Bogotá Te Escucha, Datos para la Transparencia (SATI), EMLAZE):</w:t>
      </w:r>
    </w:p>
    <w:p>
      <w:pPr>
        <w:numPr>
          <w:ilvl w:val="1"/>
          <w:numId w:val="1031"/>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1"/>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1"/>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1"/>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9"/>
        </w:numPr>
        <w:pStyle w:val="Compact"/>
      </w:pPr>
      <w:r>
        <w:t xml:space="preserve">Sistemas de fortalecimiento de capacidades y conocimiento (Bogotá Aprende TIC, DARUMA, GLOBO, SUDIVC, HUMANAPP, SIAB (El COFRE), KOHA, SIVIC, Data Warehouse AVANTI, Gestión Académica).</w:t>
      </w:r>
    </w:p>
    <w:bookmarkEnd w:id="37"/>
    <w:bookmarkStart w:id="38" w:name="sec:relación-con-objetivos"/>
    <w:p>
      <w:pPr>
        <w:pStyle w:val="Heading4"/>
      </w:pPr>
      <w:r>
        <w:t xml:space="preserve">Relación con Objetivos</w:t>
      </w:r>
    </w:p>
    <w:p>
      <w:pPr>
        <w:numPr>
          <w:ilvl w:val="0"/>
          <w:numId w:val="1032"/>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2"/>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2"/>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2"/>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2"/>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3"/>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6365331"/>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2025-08-15T05:23:05Z</dcterms:created>
  <dcterms:modified xsi:type="dcterms:W3CDTF">2025-08-15T05:23:05Z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