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9"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SG que genera aportes tecnológicos alineados con los objetivos estratégicos de transformación digital de la SG. En este dominio tratamos con las necesidades de negocio para identificar, en conjunto con la Oficina de Tecnologías de la Información (OTIC), brechas y soluciones de aplicaciones de software y preparar el terreno para la selección de las soluciones tecnológicas acordes con los objetivos estratégicos de la SG.</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las capacidades de negocio de la SG que deben ser soportadas por las aplicaciones de software.</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propópsito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6"/>
        </w:numPr>
        <w:pStyle w:val="Compact"/>
      </w:pPr>
      <w:r>
        <w:t xml:space="preserve">Definir la arquitectura de las aplicaciones (SI) necesarias para soportar los procesos de negocio de la SG.</w:t>
      </w:r>
    </w:p>
    <w:p>
      <w:pPr>
        <w:numPr>
          <w:ilvl w:val="0"/>
          <w:numId w:val="1006"/>
        </w:numPr>
        <w:pStyle w:val="Compact"/>
      </w:pPr>
      <w:r>
        <w:t xml:space="preserve">Identificar las funciones de negocio que deben ser soportadas por las aplicaciones de la SG.</w:t>
      </w:r>
    </w:p>
    <w:p>
      <w:pPr>
        <w:numPr>
          <w:ilvl w:val="0"/>
          <w:numId w:val="1006"/>
        </w:numPr>
        <w:pStyle w:val="Compact"/>
      </w:pPr>
      <w:r>
        <w:t xml:space="preserve">Establecer la interacción y el flujo de información entre las diferentes aplicaciones de la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7"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bookmarkStart w:id="26"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6"/>
    <w:p>
      <w:pPr>
        <w:pStyle w:val="BodyText"/>
      </w:pPr>
      <w:r>
        <w:t xml:space="preserve">A continuación, presentamos una descripción más detallada de los entregables relacionados con la visión del dominio de sistemas de información de la SG.</w:t>
      </w:r>
    </w:p>
    <w:bookmarkEnd w:id="27"/>
    <w:bookmarkStart w:id="28"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8"/>
    <w:bookmarkStart w:id="30"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9"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9"/>
    <w:bookmarkEnd w:id="30"/>
    <w:bookmarkStart w:id="31"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1"/>
    <w:bookmarkStart w:id="34"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2"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2"/>
    <w:bookmarkStart w:id="33"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3"/>
    <w:bookmarkEnd w:id="34"/>
    <w:bookmarkStart w:id="35"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5"/>
    <w:bookmarkStart w:id="36"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6"/>
    <w:bookmarkStart w:id="37"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7"/>
    <w:bookmarkStart w:id="38"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8"/>
    <w:bookmarkEnd w:id="39"/>
    <w:bookmarkStart w:id="47"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0"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0"/>
    <w:bookmarkStart w:id="44"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2" name="Picture"/>
            <a:graphic>
              <a:graphicData uri="http://schemas.openxmlformats.org/drawingml/2006/picture">
                <pic:pic>
                  <pic:nvPicPr>
                    <pic:cNvPr descr="images/06.2n2.1a.SIdelAnalisisdeEntorno.png" id="43" name="Picture"/>
                    <pic:cNvPicPr>
                      <a:picLocks noChangeArrowheads="1" noChangeAspect="1"/>
                    </pic:cNvPicPr>
                  </pic:nvPicPr>
                  <pic:blipFill>
                    <a:blip r:embed="rId41"/>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4"/>
    <w:bookmarkStart w:id="46" w:name="sec:elementos-del-modelo"/>
    <w:p>
      <w:pPr>
        <w:pStyle w:val="Heading3"/>
      </w:pPr>
      <w:r>
        <w:t xml:space="preserve">Elementos del Modelo</w:t>
      </w:r>
    </w:p>
    <w:bookmarkStart w:id="45"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5"/>
    <w:p>
      <w:pPr>
        <w:pStyle w:val="BodyText"/>
      </w:pPr>
    </w:p>
    <w:bookmarkEnd w:id="46"/>
    <w:bookmarkEnd w:id="47"/>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9" name="Picture"/>
            <a:graphic>
              <a:graphicData uri="http://schemas.openxmlformats.org/drawingml/2006/picture">
                <pic:pic>
                  <pic:nvPicPr>
                    <pic:cNvPr descr="images/06.2n3.a.AplicacionesyProcesos.png" id="50" name="Picture"/>
                    <pic:cNvPicPr>
                      <a:picLocks noChangeArrowheads="1" noChangeAspect="1"/>
                    </pic:cNvPicPr>
                  </pic:nvPicPr>
                  <pic:blipFill>
                    <a:blip r:embed="rId48"/>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1"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1"/>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2025-08-14T11:32:40Z</dcterms:created>
  <dcterms:modified xsi:type="dcterms:W3CDTF">2025-08-14T11:32:40Z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