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85" w:name="Xf9956c2ceb23613fa9195e31b7f9574feb1c5b2"/>
    <w:p>
      <w:pPr>
        <w:pStyle w:val="Heading1"/>
      </w:pPr>
      <w:r>
        <w:t xml:space="preserve">Documentación de Aplicaciones Negocio</w:t>
      </w:r>
    </w:p>
    <w:bookmarkStart w:id="27" w:name="X8f9641325568d9d8bfd80c63184a90101fb63e4"/>
    <w:p>
      <w:pPr>
        <w:pStyle w:val="Heading2"/>
      </w:pPr>
      <w:r>
        <w:t xml:space="preserve">Análisis de Entorno Sistemas de Información SG</w:t>
      </w:r>
    </w:p>
    <w:p>
      <w:pPr>
        <w:pStyle w:val="BlockText"/>
      </w:pPr>
      <w:r>
        <w:t xml:space="preserve">Arquitectura Empresarial SG. Ingenium. 2025 Dominio de Sistemas y Aplicaciones de Software. Sistemas de información del análisis de entorno.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(Anexo Técnico)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  <w:pStyle w:val="Compact"/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  <w:pStyle w:val="Compact"/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  <w:pStyle w:val="Compact"/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  <w:pStyle w:val="Compact"/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7457535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5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Almacenes de datos de trabajo de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los procesos de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 de software y colaboración.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Ofimática y colaboración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84" w:name="X795f6c874a27ed7c9e7402c08ac85bb47eefe04"/>
    <w:p>
      <w:pPr>
        <w:pStyle w:val="Heading2"/>
      </w:pPr>
      <w:r>
        <w:t xml:space="preserve">Alineación de aplicaciones de software con los procesos SG</w:t>
      </w:r>
    </w:p>
    <w:p>
      <w:pPr>
        <w:pStyle w:val="FirstParagraph"/>
      </w:pPr>
    </w:p>
    <w:p>
      <w:pPr>
        <w:pStyle w:val="BodyText"/>
      </w:pPr>
      <w:r>
        <w:t xml:space="preserve">Del análisis de fuentes y levantamientos de información presentamos la alineación entre aplicaciones de software de SG, procesos y estado actual.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20"/>
        <w:gridCol w:w="2370"/>
        <w:gridCol w:w="3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 de 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Disciplinario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del Sistema de Control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(Gestión Contractual)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(Facturación, LIMAY, Gestión Contractual, SIPRES)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GitLab, 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SAI,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recursos 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(PERNO)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Vincular más Fuentes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SIAB (Cofre)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la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y con proveedor externo para el caso de Emlaze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Direccionamiento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con proveedor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estratégica de comunicación 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alianzas e internacionalización de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</w:tbl>
    <w:p>
      <w:pPr>
        <w:pStyle w:val="BodyText"/>
      </w:pPr>
      <w:r>
        <w:t xml:space="preserve">Es importante destacar que el sistema Integrado de Gestión de Calidad DARUMA, el Sistema de Gestión de Incidentes y Solicitudes GLPI, y el Sistema de Gestión Documental SIGA, son sistemas transversales que soportan todos los procesos de la Secretaría General de la Alcaldía Mayor de Bogotá D.C..</w:t>
      </w:r>
    </w:p>
    <w:p>
      <w:pPr>
        <w:pStyle w:val="CaptionedFigure"/>
      </w:pPr>
      <w:r>
        <w:drawing>
          <wp:inline>
            <wp:extent cx="6400800" cy="5371194"/>
            <wp:effectExtent b="0" l="0" r="0" t="0"/>
            <wp:docPr descr="06.2n3.a.Aplicaciones y Procesos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3.a.AplicacionesyProces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71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06.2n3.a.Aplicaciones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1" w:name="sec:divulgación-de-información-pública"/>
    <w:p>
      <w:pPr>
        <w:pStyle w:val="Heading3"/>
      </w:pPr>
      <w:r>
        <w:t xml:space="preserve">Divulgación de Información Pública</w:t>
      </w:r>
    </w:p>
    <w:p>
      <w:pPr>
        <w:pStyle w:val="FirstParagraph"/>
      </w:pPr>
      <w:r>
        <w:t xml:space="preserve">Proceso de negocio para la difusión optimizada de información a través de sistemas digitales.</w:t>
      </w:r>
    </w:p>
    <w:bookmarkEnd w:id="31"/>
    <w:bookmarkStart w:id="32" w:name="Xffdf7e04ff7bc4be95b416eedd8f2c69736ca8c"/>
    <w:p>
      <w:pPr>
        <w:pStyle w:val="Heading3"/>
      </w:pPr>
      <w:r>
        <w:t xml:space="preserve">Evaluación del sistema de control interno</w:t>
      </w:r>
    </w:p>
    <w:p>
      <w:pPr>
        <w:pStyle w:val="FirstParagraph"/>
      </w:pPr>
      <w:r>
        <w:t xml:space="preserve">Evaluar de manera independiente y objetiva el Sistema de Control Interno de la Secretaría General de la Alcaldía Mayor de Bogotá, mediante la realización de auditorías internas de gestión, seguimientos e informes regulatorios programados en el Plan de Anual de Auditorías, y la atención a organismos de control, con el propósito de contribuir al mejoramiento continuo de la gestión institucional.</w:t>
      </w:r>
    </w:p>
    <w:bookmarkEnd w:id="32"/>
    <w:bookmarkStart w:id="33" w:name="sec:direccionamiento-estratégico"/>
    <w:p>
      <w:pPr>
        <w:pStyle w:val="Heading3"/>
      </w:pPr>
      <w:r>
        <w:t xml:space="preserve">Direccionamiento Estratégico</w:t>
      </w:r>
    </w:p>
    <w:p>
      <w:pPr>
        <w:pStyle w:val="FirstParagraph"/>
      </w:pPr>
      <w:r>
        <w:t xml:space="preserve">Formular, implementar, hacer monitoreo y seguimiento a las políticas públicas competencia de la Secretaría General, a los planes institucionales, a los proyectos de inversión, y gestionar el presupuesto de inversión mediante la definición de orientaciones, metodologías, la retroalimentación, acompañamiento y articulación a las dependencias de la entidad con el fin de cumplir el logro de la misión y los objetivos institucionales, en el marco de una cultura de transparencia.</w:t>
      </w:r>
    </w:p>
    <w:bookmarkEnd w:id="33"/>
    <w:bookmarkStart w:id="34" w:name="sec:control-disciplinario"/>
    <w:p>
      <w:pPr>
        <w:pStyle w:val="Heading3"/>
      </w:pPr>
      <w:r>
        <w:t xml:space="preserve">Control Disciplinario</w:t>
      </w:r>
    </w:p>
    <w:p>
      <w:pPr>
        <w:pStyle w:val="FirstParagraph"/>
      </w:pPr>
      <w:r>
        <w:t xml:space="preserve">Adelantar los procesos disciplinarios contra los(as) servidores(as) y exservidores(as) de la Secretaría General de la Alcaldía Mayor de Bogotá D.C., y prevenir las conductas disciplinarias mediante la aplicación de las normas vigentes en materia disciplinaria y el desarrollo de la estrategia preventiva con el fin determinar la posible responsabilidad disciplinaria, y evitar la ocurrencia de faltas disciplinarias por parte de estos.</w:t>
      </w:r>
    </w:p>
    <w:bookmarkEnd w:id="34"/>
    <w:bookmarkStart w:id="35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5"/>
    <w:bookmarkStart w:id="36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6"/>
    <w:bookmarkStart w:id="37" w:name="Xdcf30deeacb83d50dd53f0fc22f787ea15a836d"/>
    <w:p>
      <w:pPr>
        <w:pStyle w:val="Heading3"/>
      </w:pPr>
      <w:r>
        <w:t xml:space="preserve">Prestación de trámites y servicios a la ciudadanía</w:t>
      </w:r>
    </w:p>
    <w:p>
      <w:pPr>
        <w:pStyle w:val="FirstParagraph"/>
      </w:pPr>
      <w:r>
        <w:t xml:space="preserve">Proceso central para la interacción con los ciudadanos.</w:t>
      </w:r>
    </w:p>
    <w:bookmarkEnd w:id="37"/>
    <w:bookmarkStart w:id="38" w:name="X5eb31501311465b458ea77099c9ded67a9909c6"/>
    <w:p>
      <w:pPr>
        <w:pStyle w:val="Heading3"/>
      </w:pPr>
      <w:r>
        <w:t xml:space="preserve">Gestión estratégica de comunicación e información</w:t>
      </w:r>
    </w:p>
    <w:p>
      <w:pPr>
        <w:pStyle w:val="FirstParagraph"/>
      </w:pPr>
      <w:r>
        <w:t xml:space="preserve">Mantener informados a los distintos grupos de valor e interés acerca de los programas, proyectos y gestión de la Administración Distrital a través de la formulación y la implementación de estrategias de comunicación pública con el propósito de interactuar y mantener la confianza por parte de la entidad y de la ciudadanía en general.</w:t>
      </w:r>
    </w:p>
    <w:bookmarkEnd w:id="38"/>
    <w:bookmarkStart w:id="39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9"/>
    <w:bookmarkStart w:id="40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40"/>
    <w:bookmarkStart w:id="41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41"/>
    <w:bookmarkStart w:id="42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42"/>
    <w:bookmarkStart w:id="43" w:name="sec:procesos-de-apoyo-a-la-gestión"/>
    <w:p>
      <w:pPr>
        <w:pStyle w:val="Heading3"/>
      </w:pPr>
      <w:r>
        <w:t xml:space="preserve">Procesos de apoyo a la gestión</w:t>
      </w:r>
    </w:p>
    <w:p>
      <w:pPr>
        <w:pStyle w:val="FirstParagraph"/>
      </w:pPr>
      <w:r>
        <w:t xml:space="preserve">Procesos internos que facilitan la operación de la entidad.</w:t>
      </w:r>
    </w:p>
    <w:bookmarkEnd w:id="43"/>
    <w:bookmarkStart w:id="44" w:name="sec:gestión-jurídica"/>
    <w:p>
      <w:pPr>
        <w:pStyle w:val="Heading3"/>
      </w:pPr>
      <w:r>
        <w:t xml:space="preserve">Gestión Jurídica</w:t>
      </w:r>
    </w:p>
    <w:p>
      <w:pPr>
        <w:pStyle w:val="FirstParagraph"/>
      </w:pPr>
      <w:r>
        <w:t xml:space="preserve">Asesorar y representar jurídicamente a la Secretaría General de la Alcaldía Mayor Bogotá D.C. mediante el análisis, trámite, defensa, solución y respuesta de asuntos de carácter jurídico que surjan en el desarrollo de las funciones de acuerdo con la normatividad vigente.</w:t>
      </w:r>
    </w:p>
    <w:bookmarkEnd w:id="44"/>
    <w:bookmarkStart w:id="45" w:name="X140be3f316956ab45b9c38bcb577ba031b2dad9"/>
    <w:p>
      <w:pPr>
        <w:pStyle w:val="Heading3"/>
      </w:pPr>
      <w:r>
        <w:t xml:space="preserve">Análisis de Datos para Toma de Decisiones</w:t>
      </w:r>
    </w:p>
    <w:p>
      <w:pPr>
        <w:pStyle w:val="FirstParagraph"/>
      </w:pPr>
      <w:r>
        <w:t xml:space="preserve">Proceso de negocio que utiliza software especializado para el análisis de datos.</w:t>
      </w:r>
    </w:p>
    <w:bookmarkEnd w:id="45"/>
    <w:bookmarkStart w:id="46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46"/>
    <w:bookmarkStart w:id="47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47"/>
    <w:bookmarkStart w:id="48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48"/>
    <w:bookmarkStart w:id="49" w:name="Xc55d51a0d38627deac49f8c35127cea17a89c50"/>
    <w:p>
      <w:pPr>
        <w:pStyle w:val="Heading3"/>
      </w:pPr>
      <w:r>
        <w:t xml:space="preserve">Gestión de alianzas e internacionalización de Bogotá</w:t>
      </w:r>
    </w:p>
    <w:p>
      <w:pPr>
        <w:pStyle w:val="FirstParagraph"/>
      </w:pPr>
      <w:r>
        <w:t xml:space="preserve">Facilitar acciones estratégicas de cooperación, relacionamiento y posicionamiento internacional, mediante la gestión de interacciones con actores nacionales e internacionales, con el fin de movilizar recursos técnicos y financieros, generar alianzas estratégicas y posicionar a Bogotá como un referente global. De esta manera, se contribuirá a la implementación del Plan de Desarrollo Distrital, fortalecerá las políticas públicas y la gestión del Distrito, y se alineará con iniciativas globales como la Agenda 2030.</w:t>
      </w:r>
    </w:p>
    <w:bookmarkEnd w:id="49"/>
    <w:bookmarkStart w:id="50" w:name="sec:gestión-de-información-interna"/>
    <w:p>
      <w:pPr>
        <w:pStyle w:val="Heading3"/>
      </w:pPr>
      <w:r>
        <w:t xml:space="preserve">Gestión de Información Interna</w:t>
      </w:r>
    </w:p>
    <w:p>
      <w:pPr>
        <w:pStyle w:val="FirstParagraph"/>
      </w:pPr>
      <w:r>
        <w:t xml:space="preserve">Proceso de recolección, procesamiento y distribución de información dentro de la entidad.</w:t>
      </w:r>
    </w:p>
    <w:bookmarkEnd w:id="50"/>
    <w:bookmarkStart w:id="51" w:name="sec:gestión-de-trámites-ciudadanos"/>
    <w:p>
      <w:pPr>
        <w:pStyle w:val="Heading3"/>
      </w:pPr>
      <w:r>
        <w:t xml:space="preserve">Gestión de Trámites Ciudadanos</w:t>
      </w:r>
    </w:p>
    <w:p>
      <w:pPr>
        <w:pStyle w:val="FirstParagraph"/>
      </w:pPr>
      <w:r>
        <w:t xml:space="preserve">Proceso de atención y resolución de solicitudes y gestiones de los ciudadanos.</w:t>
      </w:r>
    </w:p>
    <w:bookmarkEnd w:id="51"/>
    <w:bookmarkStart w:id="52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52"/>
    <w:bookmarkStart w:id="53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53"/>
    <w:bookmarkStart w:id="54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54"/>
    <w:bookmarkStart w:id="55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</w:r>
    </w:p>
    <w:bookmarkEnd w:id="55"/>
    <w:bookmarkStart w:id="56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56"/>
    <w:bookmarkStart w:id="57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57"/>
    <w:bookmarkStart w:id="58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58"/>
    <w:bookmarkStart w:id="59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59"/>
    <w:bookmarkStart w:id="60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60"/>
    <w:bookmarkStart w:id="61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61"/>
    <w:bookmarkStart w:id="62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62"/>
    <w:bookmarkStart w:id="63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63"/>
    <w:bookmarkStart w:id="64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64"/>
    <w:bookmarkStart w:id="65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65"/>
    <w:bookmarkStart w:id="66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66"/>
    <w:bookmarkStart w:id="67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67"/>
    <w:bookmarkStart w:id="68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68"/>
    <w:bookmarkStart w:id="69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69"/>
    <w:bookmarkStart w:id="70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70"/>
    <w:bookmarkStart w:id="71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71"/>
    <w:bookmarkStart w:id="72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72"/>
    <w:bookmarkStart w:id="73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servicios y trámites ciudadanos.</w:t>
      </w:r>
    </w:p>
    <w:bookmarkEnd w:id="73"/>
    <w:bookmarkStart w:id="74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74"/>
    <w:bookmarkStart w:id="75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75"/>
    <w:bookmarkStart w:id="76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76"/>
    <w:bookmarkStart w:id="77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77"/>
    <w:bookmarkStart w:id="78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8"/>
    <w:bookmarkStart w:id="79" w:name="sec:portal-bogotá-capital-digital-1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9"/>
    <w:bookmarkStart w:id="80" w:name="sec:datos-para-transparencia-sati-1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80"/>
    <w:bookmarkStart w:id="81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81"/>
    <w:bookmarkStart w:id="82" w:name="sec:sistema-gestión-documental"/>
    <w:p>
      <w:pPr>
        <w:pStyle w:val="Heading3"/>
      </w:pPr>
      <w:r>
        <w:t xml:space="preserve">Sistema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82"/>
    <w:bookmarkStart w:id="83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83"/>
    <w:bookmarkEnd w:id="84"/>
    <w:bookmarkEnd w:id="85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r w:rsidRPr="0053443C">
      <w:rPr>
        <w:rFonts w:ascii="Arial" w:hAnsi="Arial" w:cs="Arial"/>
        <w:sz w:val="18"/>
        <w:szCs w:val="18"/>
        <w:lang w:eastAsia="es-CO"/>
      </w:rPr>
      <w:t>Teléfono</w:t>
    </w:r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27C053D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78AE22A6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FBAF0B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F96538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8FEDE7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4B183562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3A6ED59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5434E0E6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BCE40F2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764E90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0"/>
  <w:embedSystemFonts/>
  <w:proofState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644A2B"/>
    <w:pPr>
      <w:spacing w:after="180" w:before="180"/>
      <w:jc w:val="both"/>
    </w:pPr>
    <w:rPr>
      <w:rFonts w:ascii="Times New Roman" w:cs="Calibri" w:eastAsia="Calibri" w:hAnsi="Times New Roman"/>
      <w:color w:themeColor="text1" w:themeTint="BF" w:val="404040"/>
      <w:sz w:val="22"/>
      <w:szCs w:val="22"/>
      <w:lang w:eastAsia="es-CO" w:val="en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1F7A73"/>
    <w:rPr>
      <w:rFonts w:ascii="Roboto" w:hAnsi="Roboto"/>
      <w:i/>
      <w:iCs/>
      <w:color w:themeColor="text2" w:val="1F497D"/>
      <w:sz w:val="18"/>
      <w:szCs w:val="18"/>
      <w:lang w:val="e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644A2B"/>
    <w:rPr>
      <w:rFonts w:ascii="Times New Roman" w:cs="Calibri" w:eastAsia="Calibri" w:hAnsi="Times New Roman"/>
      <w:color w:themeColor="text1" w:themeTint="BF" w:val="404040"/>
      <w:sz w:val="22"/>
      <w:szCs w:val="22"/>
      <w:lang w:eastAsia="es-CO" w:val="en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styleId="GridTable4-Accent1" w:type="table">
    <w:name w:val="Grid Table 4 Accent 1"/>
    <w:basedOn w:val="TableNormal"/>
    <w:uiPriority w:val="49"/>
    <w:rsid w:val="00E809C3"/>
    <w:pPr>
      <w:spacing w:after="0"/>
    </w:p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1F497D" w:themeFill="text2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TableGridLight" w:type="table">
    <w:name w:val="Grid Table Light"/>
    <w:basedOn w:val="TableNormal"/>
    <w:rsid w:val="0019264D"/>
    <w:pPr>
      <w:spacing w:after="0"/>
    </w:pPr>
    <w:rPr>
      <w:rFonts w:ascii="Times New Roman" w:hAnsi="Times New Roman"/>
      <w:sz w:val="18"/>
    </w:r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rFonts w:asciiTheme="majorHAnsi" w:hAnsiTheme="majorHAnsi"/>
        <w:color w:themeColor="background1" w:val="FFFFFF"/>
        <w:sz w:val="24"/>
      </w:rPr>
      <w:tblPr/>
      <w:tcPr>
        <w:shd w:color="auto" w:fill="1F497D" w:themeFill="text2" w:val="clear"/>
      </w:tcPr>
    </w:tblStylePr>
  </w:style>
  <w:style w:styleId="TableGrid" w:type="table">
    <w:name w:val="Table Grid"/>
    <w:basedOn w:val="TableNormal"/>
    <w:rsid w:val="0019264D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2025-08-04T02:35:49Z</dcterms:created>
  <dcterms:modified xsi:type="dcterms:W3CDTF">2025-08-04T02:35:49Z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