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swald" w:cs="Oswald" w:eastAsia="Oswald" w:hAnsi="Oswald"/>
          <w:b/>
          <w:bCs/>
          <w:color w:val="927A43"/>
          <w:spacing w:val="30"/>
          <w:sz w:val="18"/>
          <w:szCs w:val="18"/>
        </w:rPr>
        <w:t xml:space="preserve">HOW TEAMS GET SEEDED OUT OF POOL PLAY</w:t>
      </w:r>
    </w:p>
    <w:p>
      <w:pPr>
        <w:spacing w:after="0"/>
      </w:pPr>
      <w:r>
        <w:rPr>
          <w:rFonts w:ascii="Anton" w:cs="Anton" w:eastAsia="Anton" w:hAnsi="Anton"/>
          <w:color w:val="23261F"/>
          <w:sz w:val="60"/>
          <w:szCs w:val="60"/>
        </w:rPr>
        <w:t xml:space="preserve">SEEDING</w:t>
      </w:r>
    </w:p>
    <w:p>
      <w:pPr>
        <w:spacing w:after="120"/>
      </w:pPr>
      <w:r>
        <w:rPr>
          <w:rFonts w:ascii="Anton" w:cs="Anton" w:eastAsia="Anton" w:hAnsi="Anton"/>
          <w:color w:val="1179B5"/>
          <w:sz w:val="60"/>
          <w:szCs w:val="60"/>
        </w:rPr>
        <w:t xml:space="preserve">KEY</w:t>
      </w:r>
    </w:p>
    <w:p>
      <w:pPr>
        <w:spacing w:after="120"/>
      </w:pPr>
      <w:r>
        <w:rPr>
          <w:rFonts w:ascii="Archivo" w:cs="Archivo" w:eastAsia="Archivo" w:hAnsi="Archivo"/>
        </w:rPr>
        <w:t xml:space="preserve">The tournament now uses a FULL round-robin on Day 1: every team plays all four opponents in its pool of five (4 games each). Because every team plays the same number of games, seeding is cleaner and more objective than before — wins compare directly with no need to adjust for games 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6BC" w:sz="1"/>
              <w:left w:val="single" w:color="927A43" w:sz="28"/>
              <w:bottom w:val="single" w:color="C9C6BC" w:sz="1"/>
              <w:right w:val="single" w:color="C9C6BC" w:sz="1"/>
            </w:tcBorders>
            <w:shd w:fill="E4E2DA" w:val="clear"/>
            <w:tcMar>
              <w:top w:type="dxa" w:w="120"/>
              <w:left w:type="dxa" w:w="220"/>
              <w:bottom w:type="dxa" w:w="120"/>
              <w:right w:type="dxa" w:w="160"/>
            </w:tcMar>
          </w:tcPr>
          <w:p>
            <w:pPr>
              <w:spacing w:after="50"/>
            </w:pPr>
            <w:r>
              <w:rPr>
                <w:rFonts w:ascii="Oswald" w:cs="Oswald" w:eastAsia="Oswald" w:hAnsi="Oswald"/>
                <w:b/>
                <w:bCs/>
                <w:color w:val="23261F"/>
                <w:spacing w:val="10"/>
                <w:sz w:val="22"/>
                <w:szCs w:val="22"/>
              </w:rPr>
              <w:t xml:space="preserve">THE RULE</w:t>
            </w:r>
          </w:p>
          <w:p>
            <w:r>
              <w:rPr>
                <w:rFonts w:ascii="Archivo" w:cs="Archivo" w:eastAsia="Archivo" w:hAnsi="Archivo"/>
                <w:sz w:val="20"/>
                <w:szCs w:val="20"/>
              </w:rPr>
              <w:t xml:space="preserve">Rank by pool finish first, then break ties with an objective, blowout-proof key. Point differential is capped at ±10 per game — the same cap used in pool play — so no team gains by running up the score. With a full round-robin, every team has exactly 4 results, so the comparison is apples-to-apples.</w:t>
            </w:r>
          </w:p>
        </w:tc>
      </w:tr>
    </w:tbl>
    <w:p>
      <w:pPr>
        <w:pStyle w:val="Heading1"/>
      </w:pPr>
      <w:r>
        <w:rPr>
          <w:rFonts w:ascii="Anton" w:cs="Anton" w:eastAsia="Anton" w:hAnsi="Anton"/>
        </w:rPr>
        <w:t xml:space="preserve">The Ranking Key (in order)</w:t>
      </w:r>
    </w:p>
    <w:p>
      <w:pPr>
        <w:pStyle w:val="ListParagraph"/>
        <w:numPr>
          <w:ilvl w:val="0"/>
          <w:numId w:val="2"/>
        </w:numPr>
        <w:spacing w:after="60"/>
      </w:pPr>
      <w:r>
        <w:rPr>
          <w:rFonts w:ascii="Archivo" w:cs="Archivo" w:eastAsia="Archivo" w:hAnsi="Archivo"/>
          <w:sz w:val="21"/>
          <w:szCs w:val="21"/>
        </w:rPr>
        <w:t xml:space="preserve">Pool finish (placement tier). All pool winners rank above all 2nd-place teams, which rank above all 3rd-place, and so on. Primary sort.</w:t>
      </w:r>
    </w:p>
    <w:p>
      <w:pPr>
        <w:pStyle w:val="ListParagraph"/>
        <w:numPr>
          <w:ilvl w:val="0"/>
          <w:numId w:val="2"/>
        </w:numPr>
        <w:spacing w:after="60"/>
      </w:pPr>
      <w:r>
        <w:rPr>
          <w:rFonts w:ascii="Archivo" w:cs="Archivo" w:eastAsia="Archivo" w:hAnsi="Archivo"/>
          <w:sz w:val="21"/>
          <w:szCs w:val="21"/>
        </w:rPr>
        <w:t xml:space="preserve">Pool wins (out of 4). Within the same placement tier, more wins ranks higher.</w:t>
      </w:r>
    </w:p>
    <w:p>
      <w:pPr>
        <w:pStyle w:val="ListParagraph"/>
        <w:numPr>
          <w:ilvl w:val="0"/>
          <w:numId w:val="2"/>
        </w:numPr>
        <w:spacing w:after="60"/>
      </w:pPr>
      <w:r>
        <w:rPr>
          <w:rFonts w:ascii="Archivo" w:cs="Archivo" w:eastAsia="Archivo" w:hAnsi="Archivo"/>
          <w:sz w:val="21"/>
          <w:szCs w:val="21"/>
        </w:rPr>
        <w:t xml:space="preserve">Head-to-head, if the tied teams played each other in pool.</w:t>
      </w:r>
    </w:p>
    <w:p>
      <w:pPr>
        <w:pStyle w:val="ListParagraph"/>
        <w:numPr>
          <w:ilvl w:val="0"/>
          <w:numId w:val="2"/>
        </w:numPr>
        <w:spacing w:after="60"/>
      </w:pPr>
      <w:r>
        <w:rPr>
          <w:rFonts w:ascii="Archivo" w:cs="Archivo" w:eastAsia="Archivo" w:hAnsi="Archivo"/>
          <w:sz w:val="21"/>
          <w:szCs w:val="21"/>
        </w:rPr>
        <w:t xml:space="preserve">Capped point differential. Total differential across the 4 pool games, each game's margin capped at ±10. Higher ranks higher.</w:t>
      </w:r>
    </w:p>
    <w:p>
      <w:pPr>
        <w:pStyle w:val="ListParagraph"/>
        <w:numPr>
          <w:ilvl w:val="0"/>
          <w:numId w:val="2"/>
        </w:numPr>
        <w:spacing w:after="60"/>
      </w:pPr>
      <w:r>
        <w:rPr>
          <w:rFonts w:ascii="Archivo" w:cs="Archivo" w:eastAsia="Archivo" w:hAnsi="Archivo"/>
          <w:sz w:val="21"/>
          <w:szCs w:val="21"/>
        </w:rPr>
        <w:t xml:space="preserve">Total points scored across the 4 pool games.</w:t>
      </w:r>
    </w:p>
    <w:p>
      <w:pPr>
        <w:pStyle w:val="ListParagraph"/>
        <w:numPr>
          <w:ilvl w:val="0"/>
          <w:numId w:val="2"/>
        </w:numPr>
        <w:spacing w:after="60"/>
      </w:pPr>
      <w:r>
        <w:rPr>
          <w:rFonts w:ascii="Archivo" w:cs="Archivo" w:eastAsia="Archivo" w:hAnsi="Archivo"/>
          <w:sz w:val="21"/>
          <w:szCs w:val="21"/>
        </w:rPr>
        <w:t xml:space="preserve">Coin toss by the Commissioners (Ron Wilson &amp; Jerry Dorsey).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6BC" w:sz="1"/>
              <w:left w:val="single" w:color="033B7A" w:sz="28"/>
              <w:bottom w:val="single" w:color="C9C6BC" w:sz="1"/>
              <w:right w:val="single" w:color="C9C6BC" w:sz="1"/>
            </w:tcBorders>
            <w:shd w:fill="E4E2DA" w:val="clear"/>
            <w:tcMar>
              <w:top w:type="dxa" w:w="120"/>
              <w:left w:type="dxa" w:w="220"/>
              <w:bottom w:type="dxa" w:w="120"/>
              <w:right w:type="dxa" w:w="160"/>
            </w:tcMar>
          </w:tcPr>
          <w:p>
            <w:pPr>
              <w:spacing w:after="50"/>
            </w:pPr>
            <w:r>
              <w:rPr>
                <w:rFonts w:ascii="Oswald" w:cs="Oswald" w:eastAsia="Oswald" w:hAnsi="Oswald"/>
                <w:b/>
                <w:bCs/>
                <w:color w:val="23261F"/>
                <w:spacing w:val="10"/>
                <w:sz w:val="22"/>
                <w:szCs w:val="22"/>
              </w:rPr>
              <w:t xml:space="preserve">WHY FULL ROUND-ROBIN MAKES THIS CLEANER</w:t>
            </w:r>
          </w:p>
          <w:p>
            <w:r>
              <w:rPr>
                <w:rFonts w:ascii="Archivo" w:cs="Archivo" w:eastAsia="Archivo" w:hAnsi="Archivo"/>
                <w:sz w:val="20"/>
                <w:szCs w:val="20"/>
              </w:rPr>
              <w:t xml:space="preserve">Under the old lighter format, teams could play a different number of games, so you needed win-percentage to compare fairly. With a full round-robin, everyone plays 4 — so raw wins (0–4) are directly comparable and ties drop straight to capped differential. Simpler for the tournament table, and indisputable for teams.</w:t>
            </w:r>
          </w:p>
        </w:tc>
      </w:tr>
    </w:tbl>
    <w:p>
      <w:pPr>
        <w:pStyle w:val="Heading1"/>
      </w:pPr>
      <w:r>
        <w:rPr>
          <w:rFonts w:ascii="Anton" w:cs="Anton" w:eastAsia="Anton" w:hAnsi="Anton"/>
        </w:rPr>
        <w:t xml:space="preserve">Worked Example</w:t>
      </w:r>
    </w:p>
    <w:p>
      <w:pPr>
        <w:spacing w:after="120"/>
      </w:pPr>
      <w:r>
        <w:rPr>
          <w:rFonts w:ascii="Archivo" w:cs="Archivo" w:eastAsia="Archivo" w:hAnsi="Archivo"/>
        </w:rPr>
        <w:t xml:space="preserve">Three pool winners all finished 4–0:</w:t>
      </w:r>
    </w:p>
    <w:p>
      <w:pPr>
        <w:pStyle w:val="ListParagraph"/>
        <w:numPr>
          <w:ilvl w:val="0"/>
          <w:numId w:val="3"/>
        </w:numPr>
        <w:spacing w:after="60"/>
      </w:pPr>
      <w:r>
        <w:rPr>
          <w:rFonts w:ascii="Archivo" w:cs="Archivo" w:eastAsia="Archivo" w:hAnsi="Archivo"/>
          <w:sz w:val="21"/>
          <w:szCs w:val="21"/>
        </w:rPr>
        <w:t xml:space="preserve">Team A: +28 capped differential, 76 points scored</w:t>
      </w:r>
    </w:p>
    <w:p>
      <w:pPr>
        <w:pStyle w:val="ListParagraph"/>
        <w:numPr>
          <w:ilvl w:val="0"/>
          <w:numId w:val="3"/>
        </w:numPr>
        <w:spacing w:after="60"/>
      </w:pPr>
      <w:r>
        <w:rPr>
          <w:rFonts w:ascii="Archivo" w:cs="Archivo" w:eastAsia="Archivo" w:hAnsi="Archivo"/>
          <w:sz w:val="21"/>
          <w:szCs w:val="21"/>
        </w:rPr>
        <w:t xml:space="preserve">Team B: +24 capped differential, 80 points scored</w:t>
      </w:r>
    </w:p>
    <w:p>
      <w:pPr>
        <w:pStyle w:val="ListParagraph"/>
        <w:numPr>
          <w:ilvl w:val="0"/>
          <w:numId w:val="3"/>
        </w:numPr>
        <w:spacing w:after="60"/>
      </w:pPr>
      <w:r>
        <w:rPr>
          <w:rFonts w:ascii="Archivo" w:cs="Archivo" w:eastAsia="Archivo" w:hAnsi="Archivo"/>
          <w:sz w:val="21"/>
          <w:szCs w:val="21"/>
        </w:rPr>
        <w:t xml:space="preserve">Team C: +28 capped differential, 72 points scored</w:t>
      </w:r>
    </w:p>
    <w:p>
      <w:pPr>
        <w:spacing w:after="120"/>
      </w:pPr>
      <w:r>
        <w:rPr>
          <w:rFonts w:ascii="Archivo" w:cs="Archivo" w:eastAsia="Archivo" w:hAnsi="Archivo"/>
        </w:rPr>
        <w:t xml:space="preserve">Tied on placement (all 1st) and wins (all 4–0). No head-to-head (different pools). Capped differential: A and C tie at +28, B is +24, so A and C rank ahead of B. Split A and C by points scored: A (76) over C (72). Final order: A, C, B.</w:t>
      </w:r>
    </w:p>
    <w:p>
      <w:pPr>
        <w:pStyle w:val="Heading1"/>
      </w:pPr>
      <w:r>
        <w:rPr>
          <w:rFonts w:ascii="Anton" w:cs="Anton" w:eastAsia="Anton" w:hAnsi="Anton"/>
        </w:rPr>
        <w:t xml:space="preserve">Bracket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9C6BC" w:sz="1"/>
              <w:left w:val="single" w:color="C9C6BC" w:sz="1"/>
              <w:bottom w:val="single" w:color="C9C6BC" w:sz="1"/>
              <w:right w:val="single" w:color="C9C6BC" w:sz="1"/>
            </w:tcBorders>
            <w:shd w:fill="033B7A" w:val="clear"/>
            <w:tcMar>
              <w:top w:type="dxa" w:w="70"/>
              <w:left w:type="dxa" w:w="120"/>
              <w:bottom w:type="dxa" w:w="70"/>
              <w:right w:type="dxa" w:w="120"/>
            </w:tcMar>
          </w:tcPr>
          <w:p>
            <w:r>
              <w:rPr>
                <w:rFonts w:ascii="Oswald" w:cs="Oswald" w:eastAsia="Oswald" w:hAnsi="Oswald"/>
                <w:b/>
                <w:bCs/>
                <w:color w:val="FFFFFF"/>
                <w:sz w:val="20"/>
                <w:szCs w:val="20"/>
              </w:rPr>
              <w:t xml:space="preserve">Overall Seed</w:t>
            </w:r>
          </w:p>
        </w:tc>
        <w:tc>
          <w:tcPr>
            <w:tcW w:type="dxa" w:w="3400"/>
            <w:tcBorders>
              <w:top w:val="single" w:color="C9C6BC" w:sz="1"/>
              <w:left w:val="single" w:color="C9C6BC" w:sz="1"/>
              <w:bottom w:val="single" w:color="C9C6BC" w:sz="1"/>
              <w:right w:val="single" w:color="C9C6BC" w:sz="1"/>
            </w:tcBorders>
            <w:shd w:fill="033B7A" w:val="clear"/>
            <w:tcMar>
              <w:top w:type="dxa" w:w="70"/>
              <w:left w:type="dxa" w:w="120"/>
              <w:bottom w:type="dxa" w:w="70"/>
              <w:right w:type="dxa" w:w="120"/>
            </w:tcMar>
          </w:tcPr>
          <w:p>
            <w:r>
              <w:rPr>
                <w:rFonts w:ascii="Oswald" w:cs="Oswald" w:eastAsia="Oswald" w:hAnsi="Oswald"/>
                <w:b/>
                <w:bCs/>
                <w:color w:val="FFFFFF"/>
                <w:sz w:val="20"/>
                <w:szCs w:val="20"/>
              </w:rPr>
              <w:t xml:space="preserve">Goes to</w:t>
            </w:r>
          </w:p>
        </w:tc>
        <w:tc>
          <w:tcPr>
            <w:tcW w:type="dxa" w:w="3360"/>
            <w:tcBorders>
              <w:top w:val="single" w:color="C9C6BC" w:sz="1"/>
              <w:left w:val="single" w:color="C9C6BC" w:sz="1"/>
              <w:bottom w:val="single" w:color="C9C6BC" w:sz="1"/>
              <w:right w:val="single" w:color="C9C6BC" w:sz="1"/>
            </w:tcBorders>
            <w:shd w:fill="033B7A" w:val="clear"/>
            <w:tcMar>
              <w:top w:type="dxa" w:w="70"/>
              <w:left w:type="dxa" w:w="120"/>
              <w:bottom w:type="dxa" w:w="70"/>
              <w:right w:type="dxa" w:w="120"/>
            </w:tcMar>
          </w:tcPr>
          <w:p>
            <w:r>
              <w:rPr>
                <w:rFonts w:ascii="Oswald" w:cs="Oswald" w:eastAsia="Oswald" w:hAnsi="Oswald"/>
                <w:b/>
                <w:bCs/>
                <w:color w:val="FFFFFF"/>
                <w:sz w:val="20"/>
                <w:szCs w:val="20"/>
              </w:rPr>
              <w:t xml:space="preserve">Bracket seed</w:t>
            </w:r>
          </w:p>
        </w:tc>
      </w:tr>
      <w:tr>
        <w:tc>
          <w:tcPr>
            <w:tcW w:type="dxa" w:w="2600"/>
            <w:tcBorders>
              <w:top w:val="single" w:color="C9C6BC" w:sz="1"/>
              <w:left w:val="single" w:color="C9C6BC" w:sz="1"/>
              <w:bottom w:val="single" w:color="C9C6BC" w:sz="1"/>
              <w:right w:val="single" w:color="C9C6BC" w:sz="1"/>
            </w:tcBorders>
            <w:shd w:fill="FFFFFF" w:val="clear"/>
            <w:tcMar>
              <w:top w:type="dxa" w:w="70"/>
              <w:left w:type="dxa" w:w="120"/>
              <w:bottom w:type="dxa" w:w="70"/>
              <w:right w:type="dxa" w:w="120"/>
            </w:tcMar>
          </w:tcPr>
          <w:p>
            <w:r>
              <w:rPr>
                <w:rFonts w:ascii="Archivo" w:cs="Archivo" w:eastAsia="Archivo" w:hAnsi="Archivo"/>
                <w:b w:val="false"/>
                <w:bCs w:val="false"/>
                <w:color w:val="23261F"/>
                <w:sz w:val="20"/>
                <w:szCs w:val="20"/>
              </w:rPr>
              <w:t xml:space="preserve">1–16</w:t>
            </w:r>
          </w:p>
        </w:tc>
        <w:tc>
          <w:tcPr>
            <w:tcW w:type="dxa" w:w="3400"/>
            <w:tcBorders>
              <w:top w:val="single" w:color="C9C6BC" w:sz="1"/>
              <w:left w:val="single" w:color="C9C6BC" w:sz="1"/>
              <w:bottom w:val="single" w:color="C9C6BC" w:sz="1"/>
              <w:right w:val="single" w:color="C9C6BC" w:sz="1"/>
            </w:tcBorders>
            <w:shd w:fill="FFFFFF" w:val="clear"/>
            <w:tcMar>
              <w:top w:type="dxa" w:w="70"/>
              <w:left w:type="dxa" w:w="120"/>
              <w:bottom w:type="dxa" w:w="70"/>
              <w:right w:type="dxa" w:w="120"/>
            </w:tcMar>
          </w:tcPr>
          <w:p>
            <w:r>
              <w:rPr>
                <w:rFonts w:ascii="Archivo" w:cs="Archivo" w:eastAsia="Archivo" w:hAnsi="Archivo"/>
                <w:b w:val="false"/>
                <w:bCs w:val="false"/>
                <w:color w:val="23261F"/>
                <w:sz w:val="20"/>
                <w:szCs w:val="20"/>
              </w:rPr>
              <w:t xml:space="preserve">CHAMPIONSHIP</w:t>
            </w:r>
          </w:p>
        </w:tc>
        <w:tc>
          <w:tcPr>
            <w:tcW w:type="dxa" w:w="3360"/>
            <w:tcBorders>
              <w:top w:val="single" w:color="C9C6BC" w:sz="1"/>
              <w:left w:val="single" w:color="C9C6BC" w:sz="1"/>
              <w:bottom w:val="single" w:color="C9C6BC" w:sz="1"/>
              <w:right w:val="single" w:color="C9C6BC" w:sz="1"/>
            </w:tcBorders>
            <w:shd w:fill="FFFFFF" w:val="clear"/>
            <w:tcMar>
              <w:top w:type="dxa" w:w="70"/>
              <w:left w:type="dxa" w:w="120"/>
              <w:bottom w:type="dxa" w:w="70"/>
              <w:right w:type="dxa" w:w="120"/>
            </w:tcMar>
          </w:tcPr>
          <w:p>
            <w:r>
              <w:rPr>
                <w:rFonts w:ascii="Archivo" w:cs="Archivo" w:eastAsia="Archivo" w:hAnsi="Archivo"/>
                <w:b w:val="false"/>
                <w:bCs w:val="false"/>
                <w:color w:val="23261F"/>
                <w:sz w:val="20"/>
                <w:szCs w:val="20"/>
              </w:rPr>
              <w:t xml:space="preserve">Seeds 1–16 (1v16 lines · plays for the Pervis Polk Cup)</w:t>
            </w:r>
          </w:p>
        </w:tc>
      </w:tr>
      <w:tr>
        <w:tc>
          <w:tcPr>
            <w:tcW w:type="dxa" w:w="2600"/>
            <w:tcBorders>
              <w:top w:val="single" w:color="C9C6BC" w:sz="1"/>
              <w:left w:val="single" w:color="C9C6BC" w:sz="1"/>
              <w:bottom w:val="single" w:color="C9C6BC" w:sz="1"/>
              <w:right w:val="single" w:color="C9C6BC" w:sz="1"/>
            </w:tcBorders>
            <w:shd w:fill="E4E2DA" w:val="clear"/>
            <w:tcMar>
              <w:top w:type="dxa" w:w="70"/>
              <w:left w:type="dxa" w:w="120"/>
              <w:bottom w:type="dxa" w:w="70"/>
              <w:right w:type="dxa" w:w="120"/>
            </w:tcMar>
          </w:tcPr>
          <w:p>
            <w:r>
              <w:rPr>
                <w:rFonts w:ascii="Archivo" w:cs="Archivo" w:eastAsia="Archivo" w:hAnsi="Archivo"/>
                <w:b w:val="false"/>
                <w:bCs w:val="false"/>
                <w:color w:val="23261F"/>
                <w:sz w:val="20"/>
                <w:szCs w:val="20"/>
              </w:rPr>
              <w:t xml:space="preserve">17–32</w:t>
            </w:r>
          </w:p>
        </w:tc>
        <w:tc>
          <w:tcPr>
            <w:tcW w:type="dxa" w:w="3400"/>
            <w:tcBorders>
              <w:top w:val="single" w:color="C9C6BC" w:sz="1"/>
              <w:left w:val="single" w:color="C9C6BC" w:sz="1"/>
              <w:bottom w:val="single" w:color="C9C6BC" w:sz="1"/>
              <w:right w:val="single" w:color="C9C6BC" w:sz="1"/>
            </w:tcBorders>
            <w:shd w:fill="E4E2DA" w:val="clear"/>
            <w:tcMar>
              <w:top w:type="dxa" w:w="70"/>
              <w:left w:type="dxa" w:w="120"/>
              <w:bottom w:type="dxa" w:w="70"/>
              <w:right w:type="dxa" w:w="120"/>
            </w:tcMar>
          </w:tcPr>
          <w:p>
            <w:r>
              <w:rPr>
                <w:rFonts w:ascii="Archivo" w:cs="Archivo" w:eastAsia="Archivo" w:hAnsi="Archivo"/>
                <w:b w:val="false"/>
                <w:bCs w:val="false"/>
                <w:color w:val="23261F"/>
                <w:sz w:val="20"/>
                <w:szCs w:val="20"/>
              </w:rPr>
              <w:t xml:space="preserve">CONSOLATION</w:t>
            </w:r>
          </w:p>
        </w:tc>
        <w:tc>
          <w:tcPr>
            <w:tcW w:type="dxa" w:w="3360"/>
            <w:tcBorders>
              <w:top w:val="single" w:color="C9C6BC" w:sz="1"/>
              <w:left w:val="single" w:color="C9C6BC" w:sz="1"/>
              <w:bottom w:val="single" w:color="C9C6BC" w:sz="1"/>
              <w:right w:val="single" w:color="C9C6BC" w:sz="1"/>
            </w:tcBorders>
            <w:shd w:fill="E4E2DA" w:val="clear"/>
            <w:tcMar>
              <w:top w:type="dxa" w:w="70"/>
              <w:left w:type="dxa" w:w="120"/>
              <w:bottom w:type="dxa" w:w="70"/>
              <w:right w:type="dxa" w:w="120"/>
            </w:tcMar>
          </w:tcPr>
          <w:p>
            <w:r>
              <w:rPr>
                <w:rFonts w:ascii="Archivo" w:cs="Archivo" w:eastAsia="Archivo" w:hAnsi="Archivo"/>
                <w:b w:val="false"/>
                <w:bCs w:val="false"/>
                <w:color w:val="23261F"/>
                <w:sz w:val="20"/>
                <w:szCs w:val="20"/>
              </w:rPr>
              <w:t xml:space="preserve">Re-numbered C1–C16</w:t>
            </w:r>
          </w:p>
        </w:tc>
      </w:tr>
      <w:tr>
        <w:tc>
          <w:tcPr>
            <w:tcW w:type="dxa" w:w="2600"/>
            <w:tcBorders>
              <w:top w:val="single" w:color="C9C6BC" w:sz="1"/>
              <w:left w:val="single" w:color="C9C6BC" w:sz="1"/>
              <w:bottom w:val="single" w:color="C9C6BC" w:sz="1"/>
              <w:right w:val="single" w:color="C9C6BC" w:sz="1"/>
            </w:tcBorders>
            <w:shd w:fill="FFFFFF" w:val="clear"/>
            <w:tcMar>
              <w:top w:type="dxa" w:w="70"/>
              <w:left w:type="dxa" w:w="120"/>
              <w:bottom w:type="dxa" w:w="70"/>
              <w:right w:type="dxa" w:w="120"/>
            </w:tcMar>
          </w:tcPr>
          <w:p>
            <w:r>
              <w:rPr>
                <w:rFonts w:ascii="Archivo" w:cs="Archivo" w:eastAsia="Archivo" w:hAnsi="Archivo"/>
                <w:b w:val="false"/>
                <w:bCs w:val="false"/>
                <w:color w:val="23261F"/>
                <w:sz w:val="20"/>
                <w:szCs w:val="20"/>
              </w:rPr>
              <w:t xml:space="preserve">33–50</w:t>
            </w:r>
          </w:p>
        </w:tc>
        <w:tc>
          <w:tcPr>
            <w:tcW w:type="dxa" w:w="3400"/>
            <w:tcBorders>
              <w:top w:val="single" w:color="C9C6BC" w:sz="1"/>
              <w:left w:val="single" w:color="C9C6BC" w:sz="1"/>
              <w:bottom w:val="single" w:color="C9C6BC" w:sz="1"/>
              <w:right w:val="single" w:color="C9C6BC" w:sz="1"/>
            </w:tcBorders>
            <w:shd w:fill="FFFFFF" w:val="clear"/>
            <w:tcMar>
              <w:top w:type="dxa" w:w="70"/>
              <w:left w:type="dxa" w:w="120"/>
              <w:bottom w:type="dxa" w:w="70"/>
              <w:right w:type="dxa" w:w="120"/>
            </w:tcMar>
          </w:tcPr>
          <w:p>
            <w:r>
              <w:rPr>
                <w:rFonts w:ascii="Archivo" w:cs="Archivo" w:eastAsia="Archivo" w:hAnsi="Archivo"/>
                <w:b w:val="false"/>
                <w:bCs w:val="false"/>
                <w:color w:val="23261F"/>
                <w:sz w:val="20"/>
                <w:szCs w:val="20"/>
              </w:rPr>
              <w:t xml:space="preserve">COMMUNITY</w:t>
            </w:r>
          </w:p>
        </w:tc>
        <w:tc>
          <w:tcPr>
            <w:tcW w:type="dxa" w:w="3360"/>
            <w:tcBorders>
              <w:top w:val="single" w:color="C9C6BC" w:sz="1"/>
              <w:left w:val="single" w:color="C9C6BC" w:sz="1"/>
              <w:bottom w:val="single" w:color="C9C6BC" w:sz="1"/>
              <w:right w:val="single" w:color="C9C6BC" w:sz="1"/>
            </w:tcBorders>
            <w:shd w:fill="FFFFFF" w:val="clear"/>
            <w:tcMar>
              <w:top w:type="dxa" w:w="70"/>
              <w:left w:type="dxa" w:w="120"/>
              <w:bottom w:type="dxa" w:w="70"/>
              <w:right w:type="dxa" w:w="120"/>
            </w:tcMar>
          </w:tcPr>
          <w:p>
            <w:r>
              <w:rPr>
                <w:rFonts w:ascii="Archivo" w:cs="Archivo" w:eastAsia="Archivo" w:hAnsi="Archivo"/>
                <w:b w:val="false"/>
                <w:bCs w:val="false"/>
                <w:color w:val="23261F"/>
                <w:sz w:val="20"/>
                <w:szCs w:val="20"/>
              </w:rPr>
              <w:t xml:space="preserve">Distributed across 3 pods of 6 (the fun bracket)</w:t>
            </w:r>
          </w:p>
        </w:tc>
      </w:tr>
    </w:tbl>
    <w:p>
      <w:pPr>
        <w:pStyle w:val="Heading1"/>
      </w:pPr>
      <w:r>
        <w:rPr>
          <w:rFonts w:ascii="Anton" w:cs="Anton" w:eastAsia="Anton" w:hAnsi="Anton"/>
        </w:rPr>
        <w:t xml:space="preserve">Tournament-Table Checklist (Saturday evening)</w:t>
      </w:r>
    </w:p>
    <w:p>
      <w:pPr>
        <w:pStyle w:val="ListParagraph"/>
        <w:numPr>
          <w:ilvl w:val="0"/>
          <w:numId w:val="3"/>
        </w:numPr>
        <w:spacing w:after="60"/>
      </w:pPr>
      <w:r>
        <w:rPr>
          <w:rFonts w:ascii="Archivo" w:cs="Archivo" w:eastAsia="Archivo" w:hAnsi="Archivo"/>
          <w:sz w:val="21"/>
          <w:szCs w:val="21"/>
        </w:rPr>
        <w:t xml:space="preserve">Each pool plays a full round-robin — confirm all 10 games per pool are recorded (W–L, capped diff, points).</w:t>
      </w:r>
    </w:p>
    <w:p>
      <w:pPr>
        <w:pStyle w:val="ListParagraph"/>
        <w:numPr>
          <w:ilvl w:val="0"/>
          <w:numId w:val="3"/>
        </w:numPr>
        <w:spacing w:after="60"/>
      </w:pPr>
      <w:r>
        <w:rPr>
          <w:rFonts w:ascii="Archivo" w:cs="Archivo" w:eastAsia="Archivo" w:hAnsi="Archivo"/>
          <w:sz w:val="21"/>
          <w:szCs w:val="21"/>
        </w:rPr>
        <w:t xml:space="preserve">Use the Live Standings Tracker (Excel) — enter results pool by pool; it auto-ranks within each pool.</w:t>
      </w:r>
    </w:p>
    <w:p>
      <w:pPr>
        <w:pStyle w:val="ListParagraph"/>
        <w:numPr>
          <w:ilvl w:val="0"/>
          <w:numId w:val="3"/>
        </w:numPr>
        <w:spacing w:after="60"/>
      </w:pPr>
      <w:r>
        <w:rPr>
          <w:rFonts w:ascii="Archivo" w:cs="Archivo" w:eastAsia="Archivo" w:hAnsi="Archivo"/>
          <w:sz w:val="21"/>
          <w:szCs w:val="21"/>
        </w:rPr>
        <w:t xml:space="preserve">Transfer pool finishes to the Master Seed sheet; sort all 50 by the key above to get seeds 1–50.</w:t>
      </w:r>
    </w:p>
    <w:p>
      <w:pPr>
        <w:pStyle w:val="ListParagraph"/>
        <w:numPr>
          <w:ilvl w:val="0"/>
          <w:numId w:val="3"/>
        </w:numPr>
        <w:spacing w:after="60"/>
      </w:pPr>
      <w:r>
        <w:rPr>
          <w:rFonts w:ascii="Archivo" w:cs="Archivo" w:eastAsia="Archivo" w:hAnsi="Archivo"/>
          <w:sz w:val="21"/>
          <w:szCs w:val="21"/>
        </w:rPr>
        <w:t xml:space="preserve">Assign 1–16 → Championship, 17–32 → Consolation, 33–50 → Community.</w:t>
      </w:r>
    </w:p>
    <w:p>
      <w:pPr>
        <w:pStyle w:val="ListParagraph"/>
        <w:numPr>
          <w:ilvl w:val="0"/>
          <w:numId w:val="3"/>
        </w:numPr>
        <w:spacing w:after="60"/>
      </w:pPr>
      <w:r>
        <w:rPr>
          <w:rFonts w:ascii="Archivo" w:cs="Archivo" w:eastAsia="Archivo" w:hAnsi="Archivo"/>
          <w:sz w:val="21"/>
          <w:szCs w:val="21"/>
        </w:rPr>
        <w:t xml:space="preserve">Write seeds onto the bracket boards before Sunday warm-ups. Resolve the 16/17 and 32/33 cutoff ties by capped diff, then coin toss.</w:t>
      </w:r>
    </w:p>
    <w:sectPr>
      <w:headerReference w:type="default" r:id="rId7"/>
      <w:footerReference w:type="default" r:id="rId8"/>
      <w:pgSz w:w="12240" w:h="15840"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swald" w:cs="Oswald" w:eastAsia="Oswald" w:hAnsi="Oswald"/>
        <w:color w:val="AEAEA6"/>
        <w:spacing w:val="10"/>
        <w:sz w:val="13"/>
        <w:szCs w:val="13"/>
      </w:rPr>
      <w:t xml:space="preserve">FAMILY · COMMUNITY · COMPETITION   |   BLAIR HIGH SCHOOL, PASADENA · AUG 15–16, 2026   |   </w:t>
    </w:r>
    <w:r>
      <w:rPr>
        <w:rFonts w:ascii="Oswald" w:cs="Oswald" w:eastAsia="Oswald" w:hAnsi="Oswald"/>
        <w:color w:val="927A43"/>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Oswald" w:cs="Oswald" w:eastAsia="Oswald" w:hAnsi="Oswald"/>
        <w:b/>
        <w:bCs/>
        <w:color w:val="23261F"/>
        <w:spacing w:val="20"/>
        <w:sz w:val="15"/>
        <w:szCs w:val="15"/>
      </w:rPr>
      <w:t xml:space="preserve">PERVIS POLK MEMORIAL 3x3</w:t>
    </w:r>
    <w:r>
      <w:rPr>
        <w:rFonts w:ascii="Oswald" w:cs="Oswald" w:eastAsia="Oswald" w:hAnsi="Oswald"/>
        <w:b/>
        <w:bCs/>
        <w:color w:val="927A43"/>
        <w:spacing w:val="20"/>
        <w:sz w:val="15"/>
        <w:szCs w:val="15"/>
      </w:rPr>
      <w:t xml:space="preserve">	DAY-2 SEEDING KEY · FULL ROUND-ROBIN</w:t>
    </w:r>
  </w:p>
  <w:p>
    <w:pPr>
      <w:pBdr>
        <w:bottom w:val="single" w:color="C9C6BC" w:sz="8" w:space="1"/>
      </w:pBdr>
      <w:spacing w:after="6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927A43"/>
      </w:rPr>
    </w:lvl>
  </w:abstractNum>
  <w:abstractNum w:abstractNumId="3" w15:restartNumberingAfterBreak="0">
    <w:multiLevelType w:val="hybridMultilevel"/>
    <w:lvl w:ilvl="0" w15:tentative="1">
      <w:start w:val="1"/>
      <w:numFmt w:val="decimal"/>
      <w:lvlText w:val="%1."/>
      <w:lvlJc w:val="left"/>
      <w:pPr>
        <w:ind w:left="560" w:hanging="280"/>
      </w:pPr>
      <w:rPr>
        <w:rFonts w:ascii="Oswald" w:cs="Oswald" w:eastAsia="Oswald" w:hAnsi="Oswald"/>
        <w:b/>
        <w:bCs/>
        <w:color w:val="927A4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chivo" w:cs="Archivo" w:eastAsia="Archivo" w:hAnsi="Archivo"/>
        <w:color w:val="2326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nton" w:cs="Anton" w:eastAsia="Anton" w:hAnsi="Anton"/>
      <w:color w:val="23261F"/>
      <w:sz w:val="60"/>
      <w:szCs w:val="60"/>
    </w:rPr>
  </w:style>
  <w:style w:type="paragraph" w:styleId="Heading1">
    <w:name w:val="Heading 1"/>
    <w:basedOn w:val="Normal"/>
    <w:next w:val="Normal"/>
    <w:qFormat/>
    <w:pPr>
      <w:spacing w:after="120" w:before="260"/>
      <w:outlineLvl w:val="0"/>
    </w:pPr>
    <w:rPr>
      <w:rFonts w:ascii="Anton" w:cs="Anton" w:eastAsia="Anton" w:hAnsi="Anton"/>
      <w:color w:val="23261F"/>
      <w:sz w:val="40"/>
      <w:szCs w:val="40"/>
    </w:rPr>
  </w:style>
  <w:style w:type="paragraph" w:styleId="Heading2">
    <w:name w:val="Heading 2"/>
    <w:basedOn w:val="Normal"/>
    <w:next w:val="Normal"/>
    <w:qFormat/>
    <w:pPr>
      <w:spacing w:after="70" w:before="160"/>
      <w:outlineLvl w:val="1"/>
    </w:pPr>
    <w:rPr>
      <w:rFonts w:ascii="Oswald" w:cs="Oswald" w:eastAsia="Oswald" w:hAnsi="Oswald"/>
      <w:b/>
      <w:bCs/>
      <w:color w:val="033B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2026-06-22T22:14:55.344Z</dcterms:created>
  <dcterms:modified xsi:type="dcterms:W3CDTF">2026-06-22T22:14:55.345Z</dcterms:modified>
</cp:coreProperties>
</file>

<file path=docProps/custom.xml><?xml version="1.0" encoding="utf-8"?>
<Properties xmlns="http://schemas.openxmlformats.org/officeDocument/2006/custom-properties" xmlns:vt="http://schemas.openxmlformats.org/officeDocument/2006/docPropsVTypes"/>
</file>