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Process Design Management Plan</w:t>
        <w:br/>
        <w:t>Active Asset Count Calculation</w:t>
      </w:r>
    </w:p>
    <w:p>
      <w:pPr>
        <w:jc w:val="center"/>
      </w:pPr>
      <w:r>
        <w:rPr>
          <w:i/>
          <w:color w:val="5A5A5A"/>
          <w:sz w:val="22"/>
        </w:rPr>
        <w:t>Corrected to use OutServiceDate for out-of-service fiscal year grouping</w:t>
      </w:r>
    </w:p>
    <w:p/>
    <w:tbl>
      <w:tblPr>
        <w:tblStyle w:val="TableGrid"/>
        <w:tblW w:type="auto" w:w="0"/>
        <w:jc w:val="center"/>
        <w:tblLayout w:type="autofit"/>
        <w:tblLook w:firstColumn="1" w:firstRow="1" w:lastColumn="0" w:lastRow="0" w:noHBand="0" w:noVBand="1" w:val="04A0"/>
      </w:tblPr>
      <w:tblGrid>
        <w:gridCol w:w="4968"/>
        <w:gridCol w:w="4968"/>
      </w:tblGrid>
      <w:tr>
        <w:tc>
          <w:tcPr>
            <w:tcW w:type="dxa" w:w="4968"/>
            <w:shd w:fill="D9EAF7"/>
            <w:vAlign w:val="top"/>
          </w:tcPr>
          <w:p>
            <w:pPr>
              <w:spacing w:after="40"/>
            </w:pPr>
            <w:r/>
            <w:r>
              <w:rPr>
                <w:b/>
                <w:sz w:val="18"/>
              </w:rPr>
              <w:t>Primary source table</w:t>
            </w:r>
          </w:p>
        </w:tc>
        <w:tc>
          <w:tcPr>
            <w:tcW w:type="dxa" w:w="4968"/>
            <w:vAlign w:val="top"/>
          </w:tcPr>
          <w:p>
            <w:pPr>
              <w:spacing w:after="40"/>
            </w:pPr>
            <w:r/>
            <w:r>
              <w:rPr>
                <w:b w:val="0"/>
                <w:sz w:val="18"/>
              </w:rPr>
              <w:t>[Asset].[Asset]</w:t>
            </w:r>
          </w:p>
        </w:tc>
      </w:tr>
      <w:tr>
        <w:tc>
          <w:tcPr>
            <w:tcW w:type="dxa" w:w="4968"/>
            <w:shd w:fill="D9EAF7"/>
            <w:vAlign w:val="top"/>
          </w:tcPr>
          <w:p>
            <w:pPr>
              <w:spacing w:after="40"/>
            </w:pPr>
            <w:r/>
            <w:r>
              <w:rPr>
                <w:b/>
                <w:sz w:val="18"/>
              </w:rPr>
              <w:t>Supporting disposal table</w:t>
            </w:r>
          </w:p>
        </w:tc>
        <w:tc>
          <w:tcPr>
            <w:tcW w:type="dxa" w:w="4968"/>
            <w:vAlign w:val="top"/>
          </w:tcPr>
          <w:p>
            <w:pPr>
              <w:spacing w:after="40"/>
            </w:pPr>
            <w:r/>
            <w:r>
              <w:rPr>
                <w:b w:val="0"/>
                <w:sz w:val="18"/>
              </w:rPr>
              <w:t>[Asset].[Dispose]</w:t>
            </w:r>
          </w:p>
        </w:tc>
      </w:tr>
      <w:tr>
        <w:tc>
          <w:tcPr>
            <w:tcW w:type="dxa" w:w="4968"/>
            <w:shd w:fill="D9EAF7"/>
            <w:vAlign w:val="top"/>
          </w:tcPr>
          <w:p>
            <w:pPr>
              <w:spacing w:after="40"/>
            </w:pPr>
            <w:r/>
            <w:r>
              <w:rPr>
                <w:b/>
                <w:sz w:val="18"/>
              </w:rPr>
              <w:t>Snapshot table</w:t>
            </w:r>
          </w:p>
        </w:tc>
        <w:tc>
          <w:tcPr>
            <w:tcW w:type="dxa" w:w="4968"/>
            <w:vAlign w:val="top"/>
          </w:tcPr>
          <w:p>
            <w:pPr>
              <w:spacing w:after="40"/>
            </w:pPr>
            <w:r/>
            <w:r>
              <w:rPr>
                <w:b w:val="0"/>
                <w:sz w:val="18"/>
              </w:rPr>
              <w:t>[dbo].[JMH_dailyrecord]</w:t>
            </w:r>
          </w:p>
        </w:tc>
      </w:tr>
      <w:tr>
        <w:tc>
          <w:tcPr>
            <w:tcW w:type="dxa" w:w="4968"/>
            <w:shd w:fill="D9EAF7"/>
            <w:vAlign w:val="top"/>
          </w:tcPr>
          <w:p>
            <w:pPr>
              <w:spacing w:after="40"/>
            </w:pPr>
            <w:r/>
            <w:r>
              <w:rPr>
                <w:b/>
                <w:sz w:val="18"/>
              </w:rPr>
              <w:t>Baseline active definition</w:t>
            </w:r>
          </w:p>
        </w:tc>
        <w:tc>
          <w:tcPr>
            <w:tcW w:type="dxa" w:w="4968"/>
            <w:vAlign w:val="top"/>
          </w:tcPr>
          <w:p>
            <w:pPr>
              <w:spacing w:after="40"/>
            </w:pPr>
            <w:r/>
            <w:r>
              <w:rPr>
                <w:b w:val="0"/>
                <w:sz w:val="18"/>
              </w:rPr>
              <w:t>AssetStatus IN ('A','H','T','K') and AssetOrganization IN ('001','002')</w:t>
            </w:r>
          </w:p>
        </w:tc>
      </w:tr>
      <w:tr>
        <w:tc>
          <w:tcPr>
            <w:tcW w:type="dxa" w:w="4968"/>
            <w:shd w:fill="D9EAF7"/>
            <w:vAlign w:val="top"/>
          </w:tcPr>
          <w:p>
            <w:pPr>
              <w:spacing w:after="40"/>
            </w:pPr>
            <w:r/>
            <w:r>
              <w:rPr>
                <w:b/>
                <w:sz w:val="18"/>
              </w:rPr>
              <w:t>FY2026 anchor count</w:t>
            </w:r>
          </w:p>
        </w:tc>
        <w:tc>
          <w:tcPr>
            <w:tcW w:type="dxa" w:w="4968"/>
            <w:vAlign w:val="top"/>
          </w:tcPr>
          <w:p>
            <w:pPr>
              <w:spacing w:after="40"/>
            </w:pPr>
            <w:r/>
            <w:r>
              <w:rPr>
                <w:b w:val="0"/>
                <w:sz w:val="18"/>
              </w:rPr>
              <w:t>2,674 active assets as of April 30, 2026</w:t>
            </w:r>
          </w:p>
        </w:tc>
      </w:tr>
    </w:tbl>
    <w:p>
      <w:pPr>
        <w:pStyle w:val="Heading1"/>
      </w:pPr>
      <w:r>
        <w:t>1. Purpose</w:t>
      </w:r>
    </w:p>
    <w:p>
      <w:r>
        <w:t>The purpose of this process design management plan is to document how active asset counts are calculated for Transportation fleet reporting, especially when producing active asset counts by fiscal year. The main issue this process addresses is that the live asset table changes over time as vehicles are added, retired, closed, corrected, or removed during cleanup activities. Because of these changes, active asset counts are time sensitive and may differ depending on when the aggregation is performed.</w:t>
      </w:r>
    </w:p>
    <w:p>
      <w:r>
        <w:t>This plan establishes a repeatable calculation method for future applications and provides a controlled approach for reconciling historical fiscal year counts where a direct point-in-time record may not exist.</w:t>
      </w:r>
    </w:p>
    <w:p>
      <w:pPr>
        <w:pStyle w:val="Heading1"/>
      </w:pPr>
      <w:r>
        <w:t>2. Primary Data Sources</w:t>
      </w:r>
    </w:p>
    <w:p>
      <w:r>
        <w:t>The primary source table for asset information is [Asset].[Asset]. This table contains descriptive and operational information about fleet assets, including vehicle in-service dates, make, model, production year, asset organization, and current asset status.</w:t>
      </w:r>
    </w:p>
    <w:p>
      <w:r>
        <w:t>The process also references [Asset].[Dispose] for out-of-service information and [dbo].[JMH_dailyrecord] for daily snapshots of the asset population.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F4E79"/>
            <w:vAlign w:val="top"/>
          </w:tcPr>
          <w:p>
            <w:pPr>
              <w:spacing w:after="40"/>
            </w:pPr>
            <w:r>
              <w:rPr>
                <w:color w:val="FFFFFF"/>
              </w:rPr>
            </w:r>
            <w:r>
              <w:rPr>
                <w:b/>
                <w:sz w:val="18"/>
              </w:rPr>
              <w:t>Table</w:t>
            </w:r>
          </w:p>
        </w:tc>
        <w:tc>
          <w:tcPr>
            <w:tcW w:type="dxa" w:w="4968"/>
            <w:shd w:fill="1F4E79"/>
            <w:vAlign w:val="top"/>
          </w:tcPr>
          <w:p>
            <w:pPr>
              <w:spacing w:after="40"/>
            </w:pPr>
            <w:r>
              <w:rPr>
                <w:color w:val="FFFFFF"/>
              </w:rPr>
            </w:r>
            <w:r>
              <w:rPr>
                <w:b/>
                <w:sz w:val="18"/>
              </w:rPr>
              <w:t>Relevant fields / purpose</w:t>
            </w:r>
          </w:p>
        </w:tc>
      </w:tr>
      <w:tr>
        <w:tc>
          <w:tcPr>
            <w:tcW w:type="dxa" w:w="4968"/>
            <w:vAlign w:val="top"/>
          </w:tcPr>
          <w:p>
            <w:pPr>
              <w:spacing w:after="40"/>
            </w:pPr>
            <w:r/>
            <w:r>
              <w:rPr>
                <w:b w:val="0"/>
                <w:sz w:val="18"/>
              </w:rPr>
              <w:t>[Asset].[Asset]</w:t>
            </w:r>
          </w:p>
        </w:tc>
        <w:tc>
          <w:tcPr>
            <w:tcW w:type="dxa" w:w="4968"/>
            <w:vAlign w:val="top"/>
          </w:tcPr>
          <w:p>
            <w:pPr>
              <w:spacing w:after="40"/>
            </w:pPr>
            <w:r/>
            <w:r>
              <w:rPr>
                <w:b w:val="0"/>
                <w:sz w:val="18"/>
              </w:rPr>
              <w:t>AssetID, AssetNumber, AssetOrganization, AssetStatus, InServiceDate, ReplacedAssetNumber</w:t>
            </w:r>
          </w:p>
        </w:tc>
      </w:tr>
      <w:tr>
        <w:tc>
          <w:tcPr>
            <w:tcW w:type="dxa" w:w="4968"/>
            <w:vAlign w:val="top"/>
          </w:tcPr>
          <w:p>
            <w:pPr>
              <w:spacing w:after="40"/>
            </w:pPr>
            <w:r/>
            <w:r>
              <w:rPr>
                <w:b w:val="0"/>
                <w:sz w:val="18"/>
              </w:rPr>
              <w:t>[Asset].[Dispose]</w:t>
            </w:r>
          </w:p>
        </w:tc>
        <w:tc>
          <w:tcPr>
            <w:tcW w:type="dxa" w:w="4968"/>
            <w:vAlign w:val="top"/>
          </w:tcPr>
          <w:p>
            <w:pPr>
              <w:spacing w:after="40"/>
            </w:pPr>
            <w:r/>
            <w:r>
              <w:rPr>
                <w:b w:val="0"/>
                <w:sz w:val="18"/>
              </w:rPr>
              <w:t>AssetID, OutServiceDate</w:t>
            </w:r>
          </w:p>
        </w:tc>
      </w:tr>
      <w:tr>
        <w:tc>
          <w:tcPr>
            <w:tcW w:type="dxa" w:w="4968"/>
            <w:vAlign w:val="top"/>
          </w:tcPr>
          <w:p>
            <w:pPr>
              <w:spacing w:after="40"/>
            </w:pPr>
            <w:r/>
            <w:r>
              <w:rPr>
                <w:b w:val="0"/>
                <w:sz w:val="18"/>
              </w:rPr>
              <w:t>[dbo].[JMH_dailyrecord]</w:t>
            </w:r>
          </w:p>
        </w:tc>
        <w:tc>
          <w:tcPr>
            <w:tcW w:type="dxa" w:w="4968"/>
            <w:vAlign w:val="top"/>
          </w:tcPr>
          <w:p>
            <w:pPr>
              <w:spacing w:after="40"/>
            </w:pPr>
            <w:r/>
            <w:r>
              <w:rPr>
                <w:b w:val="0"/>
                <w:sz w:val="18"/>
              </w:rPr>
              <w:t>date_record, AssetOrganization, AssetStatus and daily point-in-time asset attributes</w:t>
            </w:r>
          </w:p>
        </w:tc>
      </w:tr>
    </w:tbl>
    <w:p>
      <w:pPr>
        <w:pStyle w:val="Heading1"/>
      </w:pPr>
      <w:r>
        <w:t>3. Business Definition of Active Assets</w:t>
      </w:r>
    </w:p>
    <w:p>
      <w:r>
        <w:t>For baseline reporting, active assets are generally defined as vehicles that meet both of the following conditions:</w:t>
      </w:r>
    </w:p>
    <w:p>
      <w:pPr>
        <w:pStyle w:val="ListBullet"/>
      </w:pPr>
      <w:r>
        <w:t>AssetStatus is one of A, H, T, or K.</w:t>
      </w:r>
    </w:p>
    <w:p>
      <w:pPr>
        <w:pStyle w:val="ListBullet"/>
      </w:pPr>
      <w:r>
        <w:t>AssetOrganization is one of 001 or 002.</w:t>
      </w:r>
    </w:p>
    <w:p>
      <w:pPr>
        <w:pStyle w:val="CodeBlock"/>
      </w:pPr>
      <w:r>
        <w:rPr>
          <w:rFonts w:ascii="Consolas" w:hAnsi="Consolas" w:eastAsia="Consolas"/>
          <w:sz w:val="16"/>
        </w:rPr>
        <w:t>AssetOrganization IN ('001','002')</w:t>
        <w:br/>
        <w:t>AND AssetStatus IN ('A','H','T','K')</w:t>
      </w:r>
    </w:p>
    <w:p>
      <w:pPr>
        <w:pStyle w:val="BodyText"/>
      </w:pPr>
      <w:r>
        <w:rPr>
          <w:b/>
          <w:color w:val="4F81BD"/>
        </w:rPr>
        <w:t xml:space="preserve">Management note: </w:t>
      </w:r>
      <w:r>
        <w:t>This definition should be considered the standard baseline unless a specific business question requires a modified definition. Any modified rule should be documented with the report or dashboard using it.</w:t>
      </w:r>
    </w:p>
    <w:p>
      <w:pPr>
        <w:pStyle w:val="Heading1"/>
      </w:pPr>
      <w:r>
        <w:t>4. Fiscal Year Definition</w:t>
      </w:r>
    </w:p>
    <w:p>
      <w:r>
        <w:t>The fiscal year is based on a May-to-April cycle. Any date that falls in May or later is assigned to the following fiscal year. Dates from January through April remain in the calendar year.</w:t>
      </w:r>
    </w:p>
    <w:p>
      <w:pPr>
        <w:pStyle w:val="CodeBlock"/>
      </w:pPr>
      <w:r>
        <w:rPr>
          <w:rFonts w:ascii="Consolas" w:hAnsi="Consolas" w:eastAsia="Consolas"/>
          <w:sz w:val="16"/>
        </w:rPr>
        <w:t>CASE</w:t>
        <w:br/>
        <w:t xml:space="preserve">    WHEN MONTH(DateField) &gt;= 5 THEN YEAR(DateField) + 1</w:t>
        <w:br/>
        <w:t xml:space="preserve">    ELSE YEAR(DateField)</w:t>
        <w:br/>
        <w:t>END AS FY</w:t>
      </w:r>
    </w:p>
    <w:p>
      <w:r>
        <w:t>For example, April 30, 2026 belongs to FY2026. May 1, 2026 belongs to FY2027.</w:t>
      </w:r>
    </w:p>
    <w:p>
      <w:pPr>
        <w:pStyle w:val="Heading1"/>
      </w:pPr>
      <w:r>
        <w:t>5. Calculation Challenge</w:t>
      </w:r>
    </w:p>
    <w:p>
      <w:r>
        <w:t>The active asset count is difficult to calculate historically because [Asset].[Asset] is a live operational table. The table reflects the current state of the fleet, not necessarily the state of the fleet at a prior point in time.</w:t>
      </w:r>
    </w:p>
    <w:p>
      <w:pPr>
        <w:pStyle w:val="ListBullet"/>
      </w:pPr>
      <w:r>
        <w:t>New vehicles are added after a prior report was produced.</w:t>
      </w:r>
    </w:p>
    <w:p>
      <w:pPr>
        <w:pStyle w:val="ListBullet"/>
      </w:pPr>
      <w:r>
        <w:t>Assets are moved from active to closed or retired.</w:t>
      </w:r>
    </w:p>
    <w:p>
      <w:pPr>
        <w:pStyle w:val="ListBullet"/>
      </w:pPr>
      <w:r>
        <w:t>Status values may be changed without a reliable timestamp showing when the status changed.</w:t>
      </w:r>
    </w:p>
    <w:p>
      <w:pPr>
        <w:pStyle w:val="ListBullet"/>
      </w:pPr>
      <w:r>
        <w:t>Data cleanup may remove historical rows.</w:t>
      </w:r>
    </w:p>
    <w:p>
      <w:pPr>
        <w:pStyle w:val="ListBullet"/>
      </w:pPr>
      <w:r>
        <w:t>Out-of-service records may be incomplete or updated after the fact.</w:t>
      </w:r>
    </w:p>
    <w:p>
      <w:pPr>
        <w:pStyle w:val="ListBullet"/>
      </w:pPr>
      <w:r>
        <w:t>Different business users may apply slightly different active-asset definitions.</w:t>
      </w:r>
    </w:p>
    <w:p>
      <w:pPr>
        <w:pStyle w:val="Heading1"/>
      </w:pPr>
      <w:r>
        <w:t>6. Forward-Looking Calculation Method</w:t>
      </w:r>
    </w:p>
    <w:p>
      <w:r>
        <w:t>Going forward, the preferred calculation method is to use [dbo].[JMH_dailyrecord] to calculate active asset count as of the final day of each fiscal year. The standard point-in-time fiscal year count should use the April 30 snapshot date for the fiscal year.</w:t>
      </w:r>
    </w:p>
    <w:p>
      <w:pPr>
        <w:pStyle w:val="CodeBlock"/>
      </w:pPr>
      <w:r>
        <w:rPr>
          <w:rFonts w:ascii="Consolas" w:hAnsi="Consolas" w:eastAsia="Consolas"/>
          <w:sz w:val="16"/>
        </w:rPr>
        <w:t>SELECT COUNT(*)</w:t>
        <w:br/>
        <w:t>FROM dbo.JMH_dailyrecord</w:t>
        <w:br/>
        <w:t>WHERE AssetOrganization IN ('001','002')</w:t>
        <w:br/>
        <w:t xml:space="preserve">  AND AssetStatus IN ('A','H','T','K')</w:t>
        <w:br/>
        <w:t xml:space="preserve">  AND date_record &gt;= '2026-04-30'</w:t>
        <w:br/>
        <w:t xml:space="preserve">  AND date_record &lt;  '2026-05-01';</w:t>
      </w:r>
    </w:p>
    <w:p>
      <w:r>
        <w:t>Using this method, the active asset count for FY2026 was identified as 2,674 active assets. This value is used as the anchor point for the backcasting process.</w:t>
      </w:r>
    </w:p>
    <w:p>
      <w:pPr>
        <w:pStyle w:val="Heading1"/>
      </w:pPr>
      <w:r>
        <w:t>7. Historical Backcasting Method</w:t>
      </w:r>
    </w:p>
    <w:p>
      <w:r>
        <w:t>For fiscal years where a reliable daily snapshot does not exist, the historical count is estimated by starting from the known FY2026 point-in-time count and walking backward using annual fleet additions and removals.</w:t>
      </w:r>
    </w:p>
    <w:p>
      <w:pPr>
        <w:pStyle w:val="Heading2"/>
      </w:pPr>
      <w:r>
        <w:t>7.1 Additions</w:t>
      </w:r>
    </w:p>
    <w:p>
      <w:r>
        <w:t>Additions are calculated using InServiceDate from [Asset].[Asset]. The query groups vehicles by the fiscal year of their InServiceDate.</w:t>
      </w:r>
    </w:p>
    <w:p>
      <w:pPr>
        <w:pStyle w:val="CodeBlock"/>
      </w:pPr>
      <w:r>
        <w:rPr>
          <w:rFonts w:ascii="Consolas" w:hAnsi="Consolas" w:eastAsia="Consolas"/>
          <w:sz w:val="16"/>
        </w:rPr>
        <w:t>DROP TABLE IF EXISTS #Addserv;</w:t>
        <w:br/>
        <w:br/>
        <w:t>SELECT</w:t>
        <w:br/>
        <w:t xml:space="preserve">    CASE</w:t>
        <w:br/>
        <w:t xml:space="preserve">        WHEN MONTH(InServiceDate) &gt;= 5 THEN YEAR(InServiceDate) + 1</w:t>
        <w:br/>
        <w:t xml:space="preserve">        ELSE YEAR(InServiceDate)</w:t>
        <w:br/>
        <w:t xml:space="preserve">    END AS FY,</w:t>
        <w:br/>
        <w:t xml:space="preserve">    COUNT(InServiceDate) AS InServiceDate,</w:t>
        <w:br/>
        <w:t xml:space="preserve">    COUNT(CASE</w:t>
        <w:br/>
        <w:t xml:space="preserve">              WHEN TRY_CAST(ReplacedAssetNumber AS FLOAT) IS NULL THEN 1</w:t>
        <w:br/>
        <w:t xml:space="preserve">          END) AS Adds</w:t>
        <w:br/>
        <w:t>INTO #Addserv</w:t>
        <w:br/>
        <w:t>FROM asset.asset a</w:t>
        <w:br/>
        <w:t>LEFT JOIN asset.Dispose d</w:t>
        <w:br/>
        <w:t xml:space="preserve">    ON a.AssetID = d.AssetID</w:t>
        <w:br/>
        <w:t>WHERE YEAR(InServiceDate) &gt; 2013</w:t>
        <w:br/>
        <w:t xml:space="preserve">  AND a.AssetOrganization IN ('001','002')</w:t>
        <w:br/>
        <w:t>GROUP BY</w:t>
        <w:br/>
        <w:t xml:space="preserve">    CASE</w:t>
        <w:br/>
        <w:t xml:space="preserve">        WHEN MONTH(InServiceDate) &gt;= 5 THEN YEAR(InServiceDate) + 1</w:t>
        <w:br/>
        <w:t xml:space="preserve">        ELSE YEAR(InServiceDate)</w:t>
        <w:br/>
        <w:t xml:space="preserve">    END;</w:t>
      </w:r>
    </w:p>
    <w:p>
      <w:pPr>
        <w:pStyle w:val="Heading2"/>
      </w:pPr>
      <w:r>
        <w:t>7.2 Removals</w:t>
      </w:r>
    </w:p>
    <w:p>
      <w:r>
        <w:t>Removals are calculated using OutServiceDate. The fiscal year grouping also uses OutServiceDate so the removal count and fiscal year assignment are based on the same date field.</w:t>
      </w:r>
    </w:p>
    <w:p>
      <w:pPr>
        <w:pStyle w:val="CodeBlock"/>
      </w:pPr>
      <w:r>
        <w:rPr>
          <w:rFonts w:ascii="Consolas" w:hAnsi="Consolas" w:eastAsia="Consolas"/>
          <w:sz w:val="16"/>
        </w:rPr>
        <w:t>DROP TABLE IF EXISTS #Outserv;</w:t>
        <w:br/>
        <w:br/>
        <w:t>SELECT</w:t>
        <w:br/>
        <w:t xml:space="preserve">    CASE</w:t>
        <w:br/>
        <w:t xml:space="preserve">        WHEN MONTH(OutServiceDate) &gt;= 5 THEN YEAR(OutServiceDate) + 1</w:t>
        <w:br/>
        <w:t xml:space="preserve">        ELSE YEAR(OutServiceDate)</w:t>
        <w:br/>
        <w:t xml:space="preserve">    END AS FY,</w:t>
        <w:br/>
        <w:t xml:space="preserve">    COUNT(OutServiceDate) AS OutServiceDate</w:t>
        <w:br/>
        <w:t>INTO #Outserv</w:t>
        <w:br/>
        <w:t>FROM asset.asset a</w:t>
        <w:br/>
        <w:t>LEFT JOIN asset.Dispose d</w:t>
        <w:br/>
        <w:t xml:space="preserve">    ON a.AssetID = d.AssetID</w:t>
        <w:br/>
        <w:t>WHERE a.AssetOrganization IN ('001','002')</w:t>
        <w:br/>
        <w:t>GROUP BY</w:t>
        <w:br/>
        <w:t xml:space="preserve">    CASE</w:t>
        <w:br/>
        <w:t xml:space="preserve">        WHEN MONTH(OutServiceDate) &gt;= 5 THEN YEAR(OutServiceDate) + 1</w:t>
        <w:br/>
        <w:t xml:space="preserve">        ELSE YEAR(OutServiceDate)</w:t>
        <w:br/>
        <w:t xml:space="preserve">    END;</w:t>
      </w:r>
    </w:p>
    <w:p>
      <w:pPr>
        <w:pStyle w:val="BodyText"/>
      </w:pPr>
      <w:r>
        <w:rPr>
          <w:b/>
          <w:color w:val="4F81BD"/>
        </w:rPr>
        <w:t>Correction applied: OutServiceDate is used consistently in the removal fiscal year grouping logic. The removal count and the fiscal year assignment now use the same date field.</w:t>
      </w:r>
      <w:r/>
    </w:p>
    <w:p>
      <w:pPr>
        <w:pStyle w:val="Heading1"/>
      </w:pPr>
      <w:r>
        <w:t>8. Annual Delta Calculation</w:t>
      </w:r>
    </w:p>
    <w:p>
      <w:r>
        <w:t>After calculating annual additions and removals, the annual fleet delta is calculated as total in-service vehicles minus vehicles taken out of service.</w:t>
      </w:r>
    </w:p>
    <w:p>
      <w:pPr>
        <w:pStyle w:val="CodeBlock"/>
      </w:pPr>
      <w:r>
        <w:rPr>
          <w:rFonts w:ascii="Consolas" w:hAnsi="Consolas" w:eastAsia="Consolas"/>
          <w:sz w:val="16"/>
        </w:rPr>
        <w:t>Delta = Total In-Service Count - Out-of-Service Count</w:t>
      </w:r>
    </w:p>
    <w:p>
      <w:pPr>
        <w:pStyle w:val="CodeBlock"/>
      </w:pPr>
      <w:r>
        <w:rPr>
          <w:rFonts w:ascii="Consolas" w:hAnsi="Consolas" w:eastAsia="Consolas"/>
          <w:sz w:val="16"/>
        </w:rPr>
        <w:t>DROP TABLE IF EXISTS #setup;</w:t>
        <w:br/>
        <w:br/>
        <w:t>SELECT</w:t>
        <w:br/>
        <w:t xml:space="preserve">    a.FY,</w:t>
        <w:br/>
        <w:t xml:space="preserve">    b.InServiceDate AS Total_Inservice,</w:t>
        <w:br/>
        <w:t xml:space="preserve">    a.OutServiceDate,</w:t>
        <w:br/>
        <w:t xml:space="preserve">    b.InServiceDate - a.OutServiceDate AS Delta,</w:t>
        <w:br/>
        <w:t xml:space="preserve">    CASE</w:t>
        <w:br/>
        <w:t xml:space="preserve">        WHEN a.FY = 2026 THEN 2674</w:t>
        <w:br/>
        <w:t xml:space="preserve">        ELSE NULL</w:t>
        <w:br/>
        <w:t xml:space="preserve">    END AS FY_Total</w:t>
        <w:br/>
        <w:t>INTO #setup</w:t>
        <w:br/>
        <w:t>FROM #Outserv a</w:t>
        <w:br/>
        <w:t>LEFT JOIN #Addserv b</w:t>
        <w:br/>
        <w:t xml:space="preserve">    ON a.FY = b.FY</w:t>
        <w:br/>
        <w:t>WHERE a.FY &gt; 2013</w:t>
        <w:br/>
        <w:t>ORDER BY FY DESC;</w:t>
      </w:r>
    </w:p>
    <w:p>
      <w:pPr>
        <w:pStyle w:val="Heading1"/>
      </w:pPr>
      <w:r>
        <w:t>9. Recursive Historical Count Calculation</w:t>
      </w:r>
    </w:p>
    <w:p>
      <w:r>
        <w:t>Once FY2026 is established as the anchor year, prior fiscal years are calculated by walking backward one year at a time. The formula is:</w:t>
      </w:r>
    </w:p>
    <w:p>
      <w:pPr>
        <w:pStyle w:val="CodeBlock"/>
      </w:pPr>
      <w:r>
        <w:rPr>
          <w:rFonts w:ascii="Consolas" w:hAnsi="Consolas" w:eastAsia="Consolas"/>
          <w:sz w:val="16"/>
        </w:rPr>
        <w:t>Prior FY Total = Current FY Total - Current FY Delta</w:t>
      </w:r>
    </w:p>
    <w:p>
      <w:pPr>
        <w:pStyle w:val="CodeBlock"/>
      </w:pPr>
      <w:r>
        <w:rPr>
          <w:rFonts w:ascii="Consolas" w:hAnsi="Consolas" w:eastAsia="Consolas"/>
          <w:sz w:val="16"/>
        </w:rPr>
        <w:t>WITH ordered AS (</w:t>
        <w:br/>
        <w:t xml:space="preserve">    SELECT *</w:t>
        <w:br/>
        <w:t xml:space="preserve">    FROM #setup</w:t>
        <w:br/>
        <w:t>),</w:t>
        <w:br/>
        <w:t>cte AS (</w:t>
        <w:br/>
        <w:t xml:space="preserve">    SELECT</w:t>
        <w:br/>
        <w:t xml:space="preserve">        FY,</w:t>
        <w:br/>
        <w:t xml:space="preserve">        Total_Inservice,</w:t>
        <w:br/>
        <w:t xml:space="preserve">        OutServiceDate,</w:t>
        <w:br/>
        <w:t xml:space="preserve">        Delta,</w:t>
        <w:br/>
        <w:t xml:space="preserve">        FY_Total</w:t>
        <w:br/>
        <w:t xml:space="preserve">    FROM ordered</w:t>
        <w:br/>
        <w:t xml:space="preserve">    WHERE FY = 2026</w:t>
        <w:br/>
        <w:br/>
        <w:t xml:space="preserve">    UNION ALL</w:t>
        <w:br/>
        <w:br/>
        <w:t xml:space="preserve">    SELECT</w:t>
        <w:br/>
        <w:t xml:space="preserve">        s.FY,</w:t>
        <w:br/>
        <w:t xml:space="preserve">        s.Total_Inservice,</w:t>
        <w:br/>
        <w:t xml:space="preserve">        s.OutServiceDate,</w:t>
        <w:br/>
        <w:t xml:space="preserve">        s.Delta,</w:t>
        <w:br/>
        <w:t xml:space="preserve">        c.FY_Total - c.Delta AS FY_Total</w:t>
        <w:br/>
        <w:t xml:space="preserve">    FROM ordered s</w:t>
        <w:br/>
        <w:t xml:space="preserve">    JOIN cte c</w:t>
        <w:br/>
        <w:t xml:space="preserve">        ON s.FY = c.FY - 1</w:t>
        <w:br/>
        <w:t>)</w:t>
        <w:br/>
        <w:t>SELECT *</w:t>
        <w:br/>
        <w:t>FROM cte</w:t>
        <w:br/>
        <w:t>ORDER BY FY DESC;</w:t>
      </w:r>
    </w:p>
    <w:p>
      <w:pPr>
        <w:pStyle w:val="Heading1"/>
      </w:pPr>
      <w:r>
        <w:t>10. Historical Reconciliation</w:t>
      </w:r>
    </w:p>
    <w:p>
      <w:r>
        <w:t>The calculated historical values should be compared against old reports where available. This comparison helps determine whether SQL-derived values align with previously reported business totals or whether additional adjustment or explanation is required.</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tblHeader w:val="true"/>
        </w:trPr>
        <w:tc>
          <w:tcPr>
            <w:tcW w:type="dxa" w:w="1656"/>
            <w:shd w:fill="1F4E79"/>
            <w:vAlign w:val="top"/>
          </w:tcPr>
          <w:p>
            <w:pPr>
              <w:spacing w:after="40"/>
            </w:pPr>
            <w:r>
              <w:rPr>
                <w:color w:val="FFFFFF"/>
              </w:rPr>
            </w:r>
            <w:r>
              <w:rPr>
                <w:b/>
                <w:sz w:val="18"/>
              </w:rPr>
              <w:t>FY</w:t>
            </w:r>
          </w:p>
        </w:tc>
        <w:tc>
          <w:tcPr>
            <w:tcW w:type="dxa" w:w="1656"/>
            <w:shd w:fill="1F4E79"/>
            <w:vAlign w:val="top"/>
          </w:tcPr>
          <w:p>
            <w:pPr>
              <w:spacing w:after="40"/>
            </w:pPr>
            <w:r>
              <w:rPr>
                <w:color w:val="FFFFFF"/>
              </w:rPr>
            </w:r>
            <w:r>
              <w:rPr>
                <w:b/>
                <w:sz w:val="18"/>
              </w:rPr>
              <w:t>SQL YoY Change</w:t>
            </w:r>
          </w:p>
        </w:tc>
        <w:tc>
          <w:tcPr>
            <w:tcW w:type="dxa" w:w="1656"/>
            <w:shd w:fill="1F4E79"/>
            <w:vAlign w:val="top"/>
          </w:tcPr>
          <w:p>
            <w:pPr>
              <w:spacing w:after="40"/>
            </w:pPr>
            <w:r>
              <w:rPr>
                <w:color w:val="FFFFFF"/>
              </w:rPr>
            </w:r>
            <w:r>
              <w:rPr>
                <w:b/>
                <w:sz w:val="18"/>
              </w:rPr>
              <w:t>SQL Count</w:t>
            </w:r>
          </w:p>
        </w:tc>
        <w:tc>
          <w:tcPr>
            <w:tcW w:type="dxa" w:w="1656"/>
            <w:shd w:fill="1F4E79"/>
            <w:vAlign w:val="top"/>
          </w:tcPr>
          <w:p>
            <w:pPr>
              <w:spacing w:after="40"/>
            </w:pPr>
            <w:r>
              <w:rPr>
                <w:color w:val="FFFFFF"/>
              </w:rPr>
            </w:r>
            <w:r>
              <w:rPr>
                <w:b/>
                <w:sz w:val="18"/>
              </w:rPr>
              <w:t>Calculated Count</w:t>
            </w:r>
          </w:p>
        </w:tc>
        <w:tc>
          <w:tcPr>
            <w:tcW w:type="dxa" w:w="1656"/>
            <w:shd w:fill="1F4E79"/>
            <w:vAlign w:val="top"/>
          </w:tcPr>
          <w:p>
            <w:pPr>
              <w:spacing w:after="40"/>
            </w:pPr>
            <w:r>
              <w:rPr>
                <w:color w:val="FFFFFF"/>
              </w:rPr>
            </w:r>
            <w:r>
              <w:rPr>
                <w:b/>
                <w:sz w:val="18"/>
              </w:rPr>
              <w:t>Old Reports</w:t>
            </w:r>
          </w:p>
        </w:tc>
        <w:tc>
          <w:tcPr>
            <w:tcW w:type="dxa" w:w="1656"/>
            <w:shd w:fill="1F4E79"/>
            <w:vAlign w:val="top"/>
          </w:tcPr>
          <w:p>
            <w:pPr>
              <w:spacing w:after="40"/>
            </w:pPr>
            <w:r>
              <w:rPr>
                <w:color w:val="FFFFFF"/>
              </w:rPr>
            </w:r>
            <w:r>
              <w:rPr>
                <w:b/>
                <w:sz w:val="18"/>
              </w:rPr>
              <w:t>Purpose</w:t>
            </w:r>
          </w:p>
        </w:tc>
      </w:tr>
      <w:tr>
        <w:tc>
          <w:tcPr>
            <w:tcW w:type="dxa" w:w="1656"/>
            <w:vAlign w:val="top"/>
          </w:tcPr>
          <w:p>
            <w:pPr>
              <w:spacing w:after="40"/>
              <w:jc w:val="right"/>
            </w:pPr>
            <w:r/>
            <w:r>
              <w:rPr>
                <w:b w:val="0"/>
                <w:sz w:val="18"/>
              </w:rPr>
              <w:t>2016</w:t>
            </w:r>
          </w:p>
        </w:tc>
        <w:tc>
          <w:tcPr>
            <w:tcW w:type="dxa" w:w="1656"/>
            <w:vAlign w:val="top"/>
          </w:tcPr>
          <w:p>
            <w:pPr>
              <w:spacing w:after="40"/>
            </w:pPr>
            <w:r/>
            <w:r>
              <w:rPr>
                <w:b w:val="0"/>
                <w:sz w:val="18"/>
              </w:rPr>
            </w:r>
          </w:p>
        </w:tc>
        <w:tc>
          <w:tcPr>
            <w:tcW w:type="dxa" w:w="1656"/>
            <w:vAlign w:val="top"/>
          </w:tcPr>
          <w:p>
            <w:pPr>
              <w:spacing w:after="40"/>
              <w:jc w:val="right"/>
            </w:pPr>
            <w:r/>
            <w:r>
              <w:rPr>
                <w:b w:val="0"/>
                <w:sz w:val="18"/>
              </w:rPr>
              <w:t>2,518</w:t>
            </w:r>
          </w:p>
        </w:tc>
        <w:tc>
          <w:tcPr>
            <w:tcW w:type="dxa" w:w="1656"/>
            <w:vAlign w:val="top"/>
          </w:tcPr>
          <w:p>
            <w:pPr>
              <w:spacing w:after="40"/>
              <w:jc w:val="right"/>
            </w:pPr>
            <w:r/>
            <w:r>
              <w:rPr>
                <w:b w:val="0"/>
                <w:sz w:val="18"/>
              </w:rPr>
              <w:t>2,309</w:t>
            </w:r>
          </w:p>
        </w:tc>
        <w:tc>
          <w:tcPr>
            <w:tcW w:type="dxa" w:w="1656"/>
            <w:vAlign w:val="top"/>
          </w:tcPr>
          <w:p>
            <w:pPr>
              <w:spacing w:after="40"/>
              <w:jc w:val="right"/>
            </w:pPr>
            <w:r/>
            <w:r>
              <w:rPr>
                <w:b w:val="0"/>
                <w:sz w:val="18"/>
              </w:rPr>
              <w:t>2,309</w:t>
            </w:r>
          </w:p>
        </w:tc>
        <w:tc>
          <w:tcPr>
            <w:tcW w:type="dxa" w:w="1656"/>
            <w:vAlign w:val="top"/>
          </w:tcPr>
          <w:p>
            <w:pPr>
              <w:spacing w:after="40"/>
            </w:pPr>
            <w:r/>
            <w:r>
              <w:rPr>
                <w:b w:val="0"/>
                <w:sz w:val="18"/>
              </w:rPr>
              <w:t>Historical comparison</w:t>
            </w:r>
          </w:p>
        </w:tc>
      </w:tr>
      <w:tr>
        <w:tc>
          <w:tcPr>
            <w:tcW w:type="dxa" w:w="1656"/>
            <w:vAlign w:val="top"/>
          </w:tcPr>
          <w:p>
            <w:pPr>
              <w:spacing w:after="40"/>
              <w:jc w:val="right"/>
            </w:pPr>
            <w:r/>
            <w:r>
              <w:rPr>
                <w:b w:val="0"/>
                <w:sz w:val="18"/>
              </w:rPr>
              <w:t>2017</w:t>
            </w:r>
          </w:p>
        </w:tc>
        <w:tc>
          <w:tcPr>
            <w:tcW w:type="dxa" w:w="1656"/>
            <w:vAlign w:val="top"/>
          </w:tcPr>
          <w:p>
            <w:pPr>
              <w:spacing w:after="40"/>
            </w:pPr>
            <w:r/>
            <w:r>
              <w:rPr>
                <w:b w:val="0"/>
                <w:sz w:val="18"/>
              </w:rPr>
              <w:t>-0.9%</w:t>
            </w:r>
          </w:p>
        </w:tc>
        <w:tc>
          <w:tcPr>
            <w:tcW w:type="dxa" w:w="1656"/>
            <w:vAlign w:val="top"/>
          </w:tcPr>
          <w:p>
            <w:pPr>
              <w:spacing w:after="40"/>
              <w:jc w:val="right"/>
            </w:pPr>
            <w:r/>
            <w:r>
              <w:rPr>
                <w:b w:val="0"/>
                <w:sz w:val="18"/>
              </w:rPr>
              <w:t>2,495</w:t>
            </w:r>
          </w:p>
        </w:tc>
        <w:tc>
          <w:tcPr>
            <w:tcW w:type="dxa" w:w="1656"/>
            <w:vAlign w:val="top"/>
          </w:tcPr>
          <w:p>
            <w:pPr>
              <w:spacing w:after="40"/>
              <w:jc w:val="right"/>
            </w:pPr>
            <w:r/>
            <w:r>
              <w:rPr>
                <w:b w:val="0"/>
                <w:sz w:val="18"/>
              </w:rPr>
              <w:t>2,308</w:t>
            </w:r>
          </w:p>
        </w:tc>
        <w:tc>
          <w:tcPr>
            <w:tcW w:type="dxa" w:w="1656"/>
            <w:vAlign w:val="top"/>
          </w:tcPr>
          <w:p>
            <w:pPr>
              <w:spacing w:after="40"/>
              <w:jc w:val="right"/>
            </w:pPr>
            <w:r/>
            <w:r>
              <w:rPr>
                <w:b w:val="0"/>
                <w:sz w:val="18"/>
              </w:rPr>
              <w:t>2,379</w:t>
            </w:r>
          </w:p>
        </w:tc>
        <w:tc>
          <w:tcPr>
            <w:tcW w:type="dxa" w:w="1656"/>
            <w:vAlign w:val="top"/>
          </w:tcPr>
          <w:p>
            <w:pPr>
              <w:spacing w:after="40"/>
            </w:pPr>
            <w:r/>
            <w:r>
              <w:rPr>
                <w:b w:val="0"/>
                <w:sz w:val="18"/>
              </w:rPr>
              <w:t>Variance review</w:t>
            </w:r>
          </w:p>
        </w:tc>
      </w:tr>
      <w:tr>
        <w:tc>
          <w:tcPr>
            <w:tcW w:type="dxa" w:w="1656"/>
            <w:vAlign w:val="top"/>
          </w:tcPr>
          <w:p>
            <w:pPr>
              <w:spacing w:after="40"/>
              <w:jc w:val="right"/>
            </w:pPr>
            <w:r/>
            <w:r>
              <w:rPr>
                <w:b w:val="0"/>
                <w:sz w:val="18"/>
              </w:rPr>
              <w:t>2018</w:t>
            </w:r>
          </w:p>
        </w:tc>
        <w:tc>
          <w:tcPr>
            <w:tcW w:type="dxa" w:w="1656"/>
            <w:vAlign w:val="top"/>
          </w:tcPr>
          <w:p>
            <w:pPr>
              <w:spacing w:after="40"/>
            </w:pPr>
            <w:r/>
            <w:r>
              <w:rPr>
                <w:b w:val="0"/>
                <w:sz w:val="18"/>
              </w:rPr>
              <w:t>1.0%</w:t>
            </w:r>
          </w:p>
        </w:tc>
        <w:tc>
          <w:tcPr>
            <w:tcW w:type="dxa" w:w="1656"/>
            <w:vAlign w:val="top"/>
          </w:tcPr>
          <w:p>
            <w:pPr>
              <w:spacing w:after="40"/>
              <w:jc w:val="right"/>
            </w:pPr>
            <w:r/>
            <w:r>
              <w:rPr>
                <w:b w:val="0"/>
                <w:sz w:val="18"/>
              </w:rPr>
              <w:t>2,520</w:t>
            </w:r>
          </w:p>
        </w:tc>
        <w:tc>
          <w:tcPr>
            <w:tcW w:type="dxa" w:w="1656"/>
            <w:vAlign w:val="top"/>
          </w:tcPr>
          <w:p>
            <w:pPr>
              <w:spacing w:after="40"/>
              <w:jc w:val="right"/>
            </w:pPr>
            <w:r/>
            <w:r>
              <w:rPr>
                <w:b w:val="0"/>
                <w:sz w:val="18"/>
              </w:rPr>
              <w:t>2,351</w:t>
            </w:r>
          </w:p>
        </w:tc>
        <w:tc>
          <w:tcPr>
            <w:tcW w:type="dxa" w:w="1656"/>
            <w:vAlign w:val="top"/>
          </w:tcPr>
          <w:p>
            <w:pPr>
              <w:spacing w:after="40"/>
              <w:jc w:val="right"/>
            </w:pPr>
            <w:r/>
            <w:r>
              <w:rPr>
                <w:b w:val="0"/>
                <w:sz w:val="18"/>
              </w:rPr>
              <w:t>2,377</w:t>
            </w:r>
          </w:p>
        </w:tc>
        <w:tc>
          <w:tcPr>
            <w:tcW w:type="dxa" w:w="1656"/>
            <w:vAlign w:val="top"/>
          </w:tcPr>
          <w:p>
            <w:pPr>
              <w:spacing w:after="40"/>
            </w:pPr>
            <w:r/>
            <w:r>
              <w:rPr>
                <w:b w:val="0"/>
                <w:sz w:val="18"/>
              </w:rPr>
              <w:t>Variance review</w:t>
            </w:r>
          </w:p>
        </w:tc>
      </w:tr>
      <w:tr>
        <w:tc>
          <w:tcPr>
            <w:tcW w:type="dxa" w:w="1656"/>
            <w:vAlign w:val="top"/>
          </w:tcPr>
          <w:p>
            <w:pPr>
              <w:spacing w:after="40"/>
              <w:jc w:val="right"/>
            </w:pPr>
            <w:r/>
            <w:r>
              <w:rPr>
                <w:b w:val="0"/>
                <w:sz w:val="18"/>
              </w:rPr>
              <w:t>2019</w:t>
            </w:r>
          </w:p>
        </w:tc>
        <w:tc>
          <w:tcPr>
            <w:tcW w:type="dxa" w:w="1656"/>
            <w:vAlign w:val="top"/>
          </w:tcPr>
          <w:p>
            <w:pPr>
              <w:spacing w:after="40"/>
            </w:pPr>
            <w:r/>
            <w:r>
              <w:rPr>
                <w:b w:val="0"/>
                <w:sz w:val="18"/>
              </w:rPr>
              <w:t>0.4%</w:t>
            </w:r>
          </w:p>
        </w:tc>
        <w:tc>
          <w:tcPr>
            <w:tcW w:type="dxa" w:w="1656"/>
            <w:vAlign w:val="top"/>
          </w:tcPr>
          <w:p>
            <w:pPr>
              <w:spacing w:after="40"/>
              <w:jc w:val="right"/>
            </w:pPr>
            <w:r/>
            <w:r>
              <w:rPr>
                <w:b w:val="0"/>
                <w:sz w:val="18"/>
              </w:rPr>
              <w:t>2,530</w:t>
            </w:r>
          </w:p>
        </w:tc>
        <w:tc>
          <w:tcPr>
            <w:tcW w:type="dxa" w:w="1656"/>
            <w:vAlign w:val="top"/>
          </w:tcPr>
          <w:p>
            <w:pPr>
              <w:spacing w:after="40"/>
              <w:jc w:val="right"/>
            </w:pPr>
            <w:r/>
            <w:r>
              <w:rPr>
                <w:b w:val="0"/>
                <w:sz w:val="18"/>
              </w:rPr>
              <w:t>2,381</w:t>
            </w:r>
          </w:p>
        </w:tc>
        <w:tc>
          <w:tcPr>
            <w:tcW w:type="dxa" w:w="1656"/>
            <w:vAlign w:val="top"/>
          </w:tcPr>
          <w:p>
            <w:pPr>
              <w:spacing w:after="40"/>
              <w:jc w:val="right"/>
            </w:pPr>
            <w:r/>
            <w:r>
              <w:rPr>
                <w:b w:val="0"/>
                <w:sz w:val="18"/>
              </w:rPr>
              <w:t>2,422</w:t>
            </w:r>
          </w:p>
        </w:tc>
        <w:tc>
          <w:tcPr>
            <w:tcW w:type="dxa" w:w="1656"/>
            <w:vAlign w:val="top"/>
          </w:tcPr>
          <w:p>
            <w:pPr>
              <w:spacing w:after="40"/>
            </w:pPr>
            <w:r/>
            <w:r>
              <w:rPr>
                <w:b w:val="0"/>
                <w:sz w:val="18"/>
              </w:rPr>
              <w:t>Variance review</w:t>
            </w:r>
          </w:p>
        </w:tc>
      </w:tr>
      <w:tr>
        <w:tc>
          <w:tcPr>
            <w:tcW w:type="dxa" w:w="1656"/>
            <w:vAlign w:val="top"/>
          </w:tcPr>
          <w:p>
            <w:pPr>
              <w:spacing w:after="40"/>
              <w:jc w:val="right"/>
            </w:pPr>
            <w:r/>
            <w:r>
              <w:rPr>
                <w:b w:val="0"/>
                <w:sz w:val="18"/>
              </w:rPr>
              <w:t>2020</w:t>
            </w:r>
          </w:p>
        </w:tc>
        <w:tc>
          <w:tcPr>
            <w:tcW w:type="dxa" w:w="1656"/>
            <w:vAlign w:val="top"/>
          </w:tcPr>
          <w:p>
            <w:pPr>
              <w:spacing w:after="40"/>
            </w:pPr>
            <w:r/>
            <w:r>
              <w:rPr>
                <w:b w:val="0"/>
                <w:sz w:val="18"/>
              </w:rPr>
              <w:t>0.4%</w:t>
            </w:r>
          </w:p>
        </w:tc>
        <w:tc>
          <w:tcPr>
            <w:tcW w:type="dxa" w:w="1656"/>
            <w:vAlign w:val="top"/>
          </w:tcPr>
          <w:p>
            <w:pPr>
              <w:spacing w:after="40"/>
              <w:jc w:val="right"/>
            </w:pPr>
            <w:r/>
            <w:r>
              <w:rPr>
                <w:b w:val="0"/>
                <w:sz w:val="18"/>
              </w:rPr>
              <w:t>2,540</w:t>
            </w:r>
          </w:p>
        </w:tc>
        <w:tc>
          <w:tcPr>
            <w:tcW w:type="dxa" w:w="1656"/>
            <w:vAlign w:val="top"/>
          </w:tcPr>
          <w:p>
            <w:pPr>
              <w:spacing w:after="40"/>
              <w:jc w:val="right"/>
            </w:pPr>
            <w:r/>
            <w:r>
              <w:rPr>
                <w:b w:val="0"/>
                <w:sz w:val="18"/>
              </w:rPr>
              <w:t>2,411</w:t>
            </w:r>
          </w:p>
        </w:tc>
        <w:tc>
          <w:tcPr>
            <w:tcW w:type="dxa" w:w="1656"/>
            <w:vAlign w:val="top"/>
          </w:tcPr>
          <w:p>
            <w:pPr>
              <w:spacing w:after="40"/>
              <w:jc w:val="right"/>
            </w:pPr>
            <w:r/>
            <w:r>
              <w:rPr>
                <w:b w:val="0"/>
                <w:sz w:val="18"/>
              </w:rPr>
              <w:t>2,448</w:t>
            </w:r>
          </w:p>
        </w:tc>
        <w:tc>
          <w:tcPr>
            <w:tcW w:type="dxa" w:w="1656"/>
            <w:vAlign w:val="top"/>
          </w:tcPr>
          <w:p>
            <w:pPr>
              <w:spacing w:after="40"/>
            </w:pPr>
            <w:r/>
            <w:r>
              <w:rPr>
                <w:b w:val="0"/>
                <w:sz w:val="18"/>
              </w:rPr>
              <w:t>Variance review</w:t>
            </w:r>
          </w:p>
        </w:tc>
      </w:tr>
      <w:tr>
        <w:tc>
          <w:tcPr>
            <w:tcW w:type="dxa" w:w="1656"/>
            <w:vAlign w:val="top"/>
          </w:tcPr>
          <w:p>
            <w:pPr>
              <w:spacing w:after="40"/>
              <w:jc w:val="right"/>
            </w:pPr>
            <w:r/>
            <w:r>
              <w:rPr>
                <w:b w:val="0"/>
                <w:sz w:val="18"/>
              </w:rPr>
              <w:t>2021</w:t>
            </w:r>
          </w:p>
        </w:tc>
        <w:tc>
          <w:tcPr>
            <w:tcW w:type="dxa" w:w="1656"/>
            <w:vAlign w:val="top"/>
          </w:tcPr>
          <w:p>
            <w:pPr>
              <w:spacing w:after="40"/>
            </w:pPr>
            <w:r/>
            <w:r>
              <w:rPr>
                <w:b w:val="0"/>
                <w:sz w:val="18"/>
              </w:rPr>
              <w:t>1.2%</w:t>
            </w:r>
          </w:p>
        </w:tc>
        <w:tc>
          <w:tcPr>
            <w:tcW w:type="dxa" w:w="1656"/>
            <w:vAlign w:val="top"/>
          </w:tcPr>
          <w:p>
            <w:pPr>
              <w:spacing w:after="40"/>
              <w:jc w:val="right"/>
            </w:pPr>
            <w:r/>
            <w:r>
              <w:rPr>
                <w:b w:val="0"/>
                <w:sz w:val="18"/>
              </w:rPr>
              <w:t>2,570</w:t>
            </w:r>
          </w:p>
        </w:tc>
        <w:tc>
          <w:tcPr>
            <w:tcW w:type="dxa" w:w="1656"/>
            <w:vAlign w:val="top"/>
          </w:tcPr>
          <w:p>
            <w:pPr>
              <w:spacing w:after="40"/>
              <w:jc w:val="right"/>
            </w:pPr>
            <w:r/>
            <w:r>
              <w:rPr>
                <w:b w:val="0"/>
                <w:sz w:val="18"/>
              </w:rPr>
              <w:t>2,461</w:t>
            </w:r>
          </w:p>
        </w:tc>
        <w:tc>
          <w:tcPr>
            <w:tcW w:type="dxa" w:w="1656"/>
            <w:vAlign w:val="top"/>
          </w:tcPr>
          <w:p>
            <w:pPr>
              <w:spacing w:after="40"/>
              <w:jc w:val="right"/>
            </w:pPr>
            <w:r/>
            <w:r>
              <w:rPr>
                <w:b w:val="0"/>
                <w:sz w:val="18"/>
              </w:rPr>
              <w:t>2,474</w:t>
            </w:r>
          </w:p>
        </w:tc>
        <w:tc>
          <w:tcPr>
            <w:tcW w:type="dxa" w:w="1656"/>
            <w:vAlign w:val="top"/>
          </w:tcPr>
          <w:p>
            <w:pPr>
              <w:spacing w:after="40"/>
            </w:pPr>
            <w:r/>
            <w:r>
              <w:rPr>
                <w:b w:val="0"/>
                <w:sz w:val="18"/>
              </w:rPr>
              <w:t>Variance review</w:t>
            </w:r>
          </w:p>
        </w:tc>
      </w:tr>
      <w:tr>
        <w:tc>
          <w:tcPr>
            <w:tcW w:type="dxa" w:w="1656"/>
            <w:vAlign w:val="top"/>
          </w:tcPr>
          <w:p>
            <w:pPr>
              <w:spacing w:after="40"/>
              <w:jc w:val="right"/>
            </w:pPr>
            <w:r/>
            <w:r>
              <w:rPr>
                <w:b w:val="0"/>
                <w:sz w:val="18"/>
              </w:rPr>
              <w:t>2022</w:t>
            </w:r>
          </w:p>
        </w:tc>
        <w:tc>
          <w:tcPr>
            <w:tcW w:type="dxa" w:w="1656"/>
            <w:vAlign w:val="top"/>
          </w:tcPr>
          <w:p>
            <w:pPr>
              <w:spacing w:after="40"/>
            </w:pPr>
            <w:r/>
            <w:r>
              <w:rPr>
                <w:b w:val="0"/>
                <w:sz w:val="18"/>
              </w:rPr>
              <w:t>-1.3%</w:t>
            </w:r>
          </w:p>
        </w:tc>
        <w:tc>
          <w:tcPr>
            <w:tcW w:type="dxa" w:w="1656"/>
            <w:vAlign w:val="top"/>
          </w:tcPr>
          <w:p>
            <w:pPr>
              <w:spacing w:after="40"/>
              <w:jc w:val="right"/>
            </w:pPr>
            <w:r/>
            <w:r>
              <w:rPr>
                <w:b w:val="0"/>
                <w:sz w:val="18"/>
              </w:rPr>
              <w:t>2,537</w:t>
            </w:r>
          </w:p>
        </w:tc>
        <w:tc>
          <w:tcPr>
            <w:tcW w:type="dxa" w:w="1656"/>
            <w:vAlign w:val="top"/>
          </w:tcPr>
          <w:p>
            <w:pPr>
              <w:spacing w:after="40"/>
              <w:jc w:val="right"/>
            </w:pPr>
            <w:r/>
            <w:r>
              <w:rPr>
                <w:b w:val="0"/>
                <w:sz w:val="18"/>
              </w:rPr>
              <w:t>2,451</w:t>
            </w:r>
          </w:p>
        </w:tc>
        <w:tc>
          <w:tcPr>
            <w:tcW w:type="dxa" w:w="1656"/>
            <w:vAlign w:val="top"/>
          </w:tcPr>
          <w:p>
            <w:pPr>
              <w:spacing w:after="40"/>
              <w:jc w:val="right"/>
            </w:pPr>
            <w:r/>
            <w:r>
              <w:rPr>
                <w:b w:val="0"/>
                <w:sz w:val="18"/>
              </w:rPr>
              <w:t>2,443</w:t>
            </w:r>
          </w:p>
        </w:tc>
        <w:tc>
          <w:tcPr>
            <w:tcW w:type="dxa" w:w="1656"/>
            <w:vAlign w:val="top"/>
          </w:tcPr>
          <w:p>
            <w:pPr>
              <w:spacing w:after="40"/>
            </w:pPr>
            <w:r/>
            <w:r>
              <w:rPr>
                <w:b w:val="0"/>
                <w:sz w:val="18"/>
              </w:rPr>
              <w:t>Variance review</w:t>
            </w:r>
          </w:p>
        </w:tc>
      </w:tr>
      <w:tr>
        <w:tc>
          <w:tcPr>
            <w:tcW w:type="dxa" w:w="1656"/>
            <w:vAlign w:val="top"/>
          </w:tcPr>
          <w:p>
            <w:pPr>
              <w:spacing w:after="40"/>
              <w:jc w:val="right"/>
            </w:pPr>
            <w:r/>
            <w:r>
              <w:rPr>
                <w:b w:val="0"/>
                <w:sz w:val="18"/>
              </w:rPr>
              <w:t>2023</w:t>
            </w:r>
          </w:p>
        </w:tc>
        <w:tc>
          <w:tcPr>
            <w:tcW w:type="dxa" w:w="1656"/>
            <w:vAlign w:val="top"/>
          </w:tcPr>
          <w:p>
            <w:pPr>
              <w:spacing w:after="40"/>
            </w:pPr>
            <w:r/>
            <w:r>
              <w:rPr>
                <w:b w:val="0"/>
                <w:sz w:val="18"/>
              </w:rPr>
              <w:t>-2.0%</w:t>
            </w:r>
          </w:p>
        </w:tc>
        <w:tc>
          <w:tcPr>
            <w:tcW w:type="dxa" w:w="1656"/>
            <w:vAlign w:val="top"/>
          </w:tcPr>
          <w:p>
            <w:pPr>
              <w:spacing w:after="40"/>
              <w:jc w:val="right"/>
            </w:pPr>
            <w:r/>
            <w:r>
              <w:rPr>
                <w:b w:val="0"/>
                <w:sz w:val="18"/>
              </w:rPr>
              <w:t>2,485</w:t>
            </w:r>
          </w:p>
        </w:tc>
        <w:tc>
          <w:tcPr>
            <w:tcW w:type="dxa" w:w="1656"/>
            <w:vAlign w:val="top"/>
          </w:tcPr>
          <w:p>
            <w:pPr>
              <w:spacing w:after="40"/>
              <w:jc w:val="right"/>
            </w:pPr>
            <w:r/>
            <w:r>
              <w:rPr>
                <w:b w:val="0"/>
                <w:sz w:val="18"/>
              </w:rPr>
              <w:t>2,422</w:t>
            </w:r>
          </w:p>
        </w:tc>
        <w:tc>
          <w:tcPr>
            <w:tcW w:type="dxa" w:w="1656"/>
            <w:vAlign w:val="top"/>
          </w:tcPr>
          <w:p>
            <w:pPr>
              <w:spacing w:after="40"/>
              <w:jc w:val="right"/>
            </w:pPr>
            <w:r/>
            <w:r>
              <w:rPr>
                <w:b w:val="0"/>
                <w:sz w:val="18"/>
              </w:rPr>
              <w:t>2,443</w:t>
            </w:r>
          </w:p>
        </w:tc>
        <w:tc>
          <w:tcPr>
            <w:tcW w:type="dxa" w:w="1656"/>
            <w:vAlign w:val="top"/>
          </w:tcPr>
          <w:p>
            <w:pPr>
              <w:spacing w:after="40"/>
            </w:pPr>
            <w:r/>
            <w:r>
              <w:rPr>
                <w:b w:val="0"/>
                <w:sz w:val="18"/>
              </w:rPr>
              <w:t>Variance review</w:t>
            </w:r>
          </w:p>
        </w:tc>
      </w:tr>
      <w:tr>
        <w:tc>
          <w:tcPr>
            <w:tcW w:type="dxa" w:w="1656"/>
            <w:vAlign w:val="top"/>
          </w:tcPr>
          <w:p>
            <w:pPr>
              <w:spacing w:after="40"/>
              <w:jc w:val="right"/>
            </w:pPr>
            <w:r/>
            <w:r>
              <w:rPr>
                <w:b w:val="0"/>
                <w:sz w:val="18"/>
              </w:rPr>
              <w:t>2024</w:t>
            </w:r>
          </w:p>
        </w:tc>
        <w:tc>
          <w:tcPr>
            <w:tcW w:type="dxa" w:w="1656"/>
            <w:vAlign w:val="top"/>
          </w:tcPr>
          <w:p>
            <w:pPr>
              <w:spacing w:after="40"/>
            </w:pPr>
            <w:r/>
            <w:r>
              <w:rPr>
                <w:b w:val="0"/>
                <w:sz w:val="18"/>
              </w:rPr>
              <w:t>1.3%</w:t>
            </w:r>
          </w:p>
        </w:tc>
        <w:tc>
          <w:tcPr>
            <w:tcW w:type="dxa" w:w="1656"/>
            <w:vAlign w:val="top"/>
          </w:tcPr>
          <w:p>
            <w:pPr>
              <w:spacing w:after="40"/>
              <w:jc w:val="right"/>
            </w:pPr>
            <w:r/>
            <w:r>
              <w:rPr>
                <w:b w:val="0"/>
                <w:sz w:val="18"/>
              </w:rPr>
              <w:t>2,517</w:t>
            </w:r>
          </w:p>
        </w:tc>
        <w:tc>
          <w:tcPr>
            <w:tcW w:type="dxa" w:w="1656"/>
            <w:vAlign w:val="top"/>
          </w:tcPr>
          <w:p>
            <w:pPr>
              <w:spacing w:after="40"/>
              <w:jc w:val="right"/>
            </w:pPr>
            <w:r/>
            <w:r>
              <w:rPr>
                <w:b w:val="0"/>
                <w:sz w:val="18"/>
              </w:rPr>
              <w:t>2,475</w:t>
            </w:r>
          </w:p>
        </w:tc>
        <w:tc>
          <w:tcPr>
            <w:tcW w:type="dxa" w:w="1656"/>
            <w:vAlign w:val="top"/>
          </w:tcPr>
          <w:p>
            <w:pPr>
              <w:spacing w:after="40"/>
              <w:jc w:val="right"/>
            </w:pPr>
            <w:r/>
            <w:r>
              <w:rPr>
                <w:b w:val="0"/>
                <w:sz w:val="18"/>
              </w:rPr>
              <w:t>2,497</w:t>
            </w:r>
          </w:p>
        </w:tc>
        <w:tc>
          <w:tcPr>
            <w:tcW w:type="dxa" w:w="1656"/>
            <w:vAlign w:val="top"/>
          </w:tcPr>
          <w:p>
            <w:pPr>
              <w:spacing w:after="40"/>
            </w:pPr>
            <w:r/>
            <w:r>
              <w:rPr>
                <w:b w:val="0"/>
                <w:sz w:val="18"/>
              </w:rPr>
              <w:t>Variance review</w:t>
            </w:r>
          </w:p>
        </w:tc>
      </w:tr>
      <w:tr>
        <w:tc>
          <w:tcPr>
            <w:tcW w:type="dxa" w:w="1656"/>
            <w:vAlign w:val="top"/>
          </w:tcPr>
          <w:p>
            <w:pPr>
              <w:spacing w:after="40"/>
              <w:jc w:val="right"/>
            </w:pPr>
            <w:r/>
            <w:r>
              <w:rPr>
                <w:b w:val="0"/>
                <w:sz w:val="18"/>
              </w:rPr>
              <w:t>2025</w:t>
            </w:r>
          </w:p>
        </w:tc>
        <w:tc>
          <w:tcPr>
            <w:tcW w:type="dxa" w:w="1656"/>
            <w:vAlign w:val="top"/>
          </w:tcPr>
          <w:p>
            <w:pPr>
              <w:spacing w:after="40"/>
            </w:pPr>
            <w:r/>
            <w:r>
              <w:rPr>
                <w:b w:val="0"/>
                <w:sz w:val="18"/>
              </w:rPr>
              <w:t>3.5%</w:t>
            </w:r>
          </w:p>
        </w:tc>
        <w:tc>
          <w:tcPr>
            <w:tcW w:type="dxa" w:w="1656"/>
            <w:vAlign w:val="top"/>
          </w:tcPr>
          <w:p>
            <w:pPr>
              <w:spacing w:after="40"/>
              <w:jc w:val="right"/>
            </w:pPr>
            <w:r/>
            <w:r>
              <w:rPr>
                <w:b w:val="0"/>
                <w:sz w:val="18"/>
              </w:rPr>
              <w:t>2,604</w:t>
            </w:r>
          </w:p>
        </w:tc>
        <w:tc>
          <w:tcPr>
            <w:tcW w:type="dxa" w:w="1656"/>
            <w:vAlign w:val="top"/>
          </w:tcPr>
          <w:p>
            <w:pPr>
              <w:spacing w:after="40"/>
              <w:jc w:val="right"/>
            </w:pPr>
            <w:r/>
            <w:r>
              <w:rPr>
                <w:b w:val="0"/>
                <w:sz w:val="18"/>
              </w:rPr>
              <w:t>2,583</w:t>
            </w:r>
          </w:p>
        </w:tc>
        <w:tc>
          <w:tcPr>
            <w:tcW w:type="dxa" w:w="1656"/>
            <w:vAlign w:val="top"/>
          </w:tcPr>
          <w:p>
            <w:pPr>
              <w:spacing w:after="40"/>
              <w:jc w:val="right"/>
            </w:pPr>
            <w:r/>
            <w:r>
              <w:rPr>
                <w:b w:val="0"/>
                <w:sz w:val="18"/>
              </w:rPr>
              <w:t>2,604</w:t>
            </w:r>
          </w:p>
        </w:tc>
        <w:tc>
          <w:tcPr>
            <w:tcW w:type="dxa" w:w="1656"/>
            <w:vAlign w:val="top"/>
          </w:tcPr>
          <w:p>
            <w:pPr>
              <w:spacing w:after="40"/>
            </w:pPr>
            <w:r/>
            <w:r>
              <w:rPr>
                <w:b w:val="0"/>
                <w:sz w:val="18"/>
              </w:rPr>
              <w:t>Variance review</w:t>
            </w:r>
          </w:p>
        </w:tc>
      </w:tr>
      <w:tr>
        <w:tc>
          <w:tcPr>
            <w:tcW w:type="dxa" w:w="1656"/>
            <w:vAlign w:val="top"/>
          </w:tcPr>
          <w:p>
            <w:pPr>
              <w:spacing w:after="40"/>
              <w:jc w:val="right"/>
            </w:pPr>
            <w:r/>
            <w:r>
              <w:rPr>
                <w:b w:val="0"/>
                <w:sz w:val="18"/>
              </w:rPr>
              <w:t>2026</w:t>
            </w:r>
          </w:p>
        </w:tc>
        <w:tc>
          <w:tcPr>
            <w:tcW w:type="dxa" w:w="1656"/>
            <w:vAlign w:val="top"/>
          </w:tcPr>
          <w:p>
            <w:pPr>
              <w:spacing w:after="40"/>
            </w:pPr>
            <w:r/>
            <w:r>
              <w:rPr>
                <w:b w:val="0"/>
                <w:sz w:val="18"/>
              </w:rPr>
              <w:t>2.7%</w:t>
            </w:r>
          </w:p>
        </w:tc>
        <w:tc>
          <w:tcPr>
            <w:tcW w:type="dxa" w:w="1656"/>
            <w:vAlign w:val="top"/>
          </w:tcPr>
          <w:p>
            <w:pPr>
              <w:spacing w:after="40"/>
              <w:jc w:val="right"/>
            </w:pPr>
            <w:r/>
            <w:r>
              <w:rPr>
                <w:b w:val="0"/>
                <w:sz w:val="18"/>
              </w:rPr>
              <w:t>2,674</w:t>
            </w:r>
          </w:p>
        </w:tc>
        <w:tc>
          <w:tcPr>
            <w:tcW w:type="dxa" w:w="1656"/>
            <w:vAlign w:val="top"/>
          </w:tcPr>
          <w:p>
            <w:pPr>
              <w:spacing w:after="40"/>
              <w:jc w:val="right"/>
            </w:pPr>
            <w:r/>
            <w:r>
              <w:rPr>
                <w:b w:val="0"/>
                <w:sz w:val="18"/>
              </w:rPr>
              <w:t>2,676</w:t>
            </w:r>
          </w:p>
        </w:tc>
        <w:tc>
          <w:tcPr>
            <w:tcW w:type="dxa" w:w="1656"/>
            <w:vAlign w:val="top"/>
          </w:tcPr>
          <w:p>
            <w:pPr>
              <w:spacing w:after="40"/>
              <w:jc w:val="right"/>
            </w:pPr>
            <w:r/>
            <w:r>
              <w:rPr>
                <w:b w:val="0"/>
                <w:sz w:val="18"/>
              </w:rPr>
              <w:t>2,649</w:t>
            </w:r>
          </w:p>
        </w:tc>
        <w:tc>
          <w:tcPr>
            <w:tcW w:type="dxa" w:w="1656"/>
            <w:vAlign w:val="top"/>
          </w:tcPr>
          <w:p>
            <w:pPr>
              <w:spacing w:after="40"/>
            </w:pPr>
            <w:r/>
            <w:r>
              <w:rPr>
                <w:b w:val="0"/>
                <w:sz w:val="18"/>
              </w:rPr>
              <w:t>Snapshot anchor review</w:t>
            </w:r>
          </w:p>
        </w:tc>
      </w:tr>
    </w:tbl>
    <w:p>
      <w:r>
        <w:t>Where historical source data is incomplete, the calculated count should be treated as a controlled estimate rather than a fully audited point-in-time count. The purpose of the reconciliation table is to create transparency around the differences between current SQL logic, reconstructed calculations, and previously published reports.</w:t>
      </w:r>
    </w:p>
    <w:p>
      <w:pPr>
        <w:pStyle w:val="Heading1"/>
      </w:pPr>
      <w:r>
        <w:t>11. Recommended Standard Process</w:t>
      </w:r>
    </w:p>
    <w:p>
      <w:pPr>
        <w:pStyle w:val="ListNumber"/>
      </w:pPr>
      <w:r>
        <w:t>Use [dbo].[JMH_dailyrecord] for all future fiscal year-end active asset counts.</w:t>
      </w:r>
    </w:p>
    <w:p>
      <w:pPr>
        <w:pStyle w:val="ListNumber"/>
      </w:pPr>
      <w:r>
        <w:t>Use April 30 as the fiscal year-end snapshot date.</w:t>
      </w:r>
    </w:p>
    <w:p>
      <w:pPr>
        <w:pStyle w:val="ListNumber"/>
      </w:pPr>
      <w:r>
        <w:t>Apply the standard active asset filter: AssetOrganization IN ('001','002') and AssetStatus IN ('A','H','T','K').</w:t>
      </w:r>
    </w:p>
    <w:p>
      <w:pPr>
        <w:pStyle w:val="ListNumber"/>
      </w:pPr>
      <w:r>
        <w:t>Store the fiscal year-end result in a controlled reporting table.</w:t>
      </w:r>
    </w:p>
    <w:p>
      <w:pPr>
        <w:pStyle w:val="ListNumber"/>
      </w:pPr>
      <w:r>
        <w:t>Preserve the SQL logic used to produce the count.</w:t>
      </w:r>
    </w:p>
    <w:p>
      <w:pPr>
        <w:pStyle w:val="ListNumber"/>
      </w:pPr>
      <w:r>
        <w:t>Document any exceptions or modified business rules.</w:t>
      </w:r>
    </w:p>
    <w:p>
      <w:pPr>
        <w:pStyle w:val="ListNumber"/>
      </w:pPr>
      <w:r>
        <w:t>For historical years without snapshots, use the FY2026 anchor count and backcast using annual additions and removals.</w:t>
      </w:r>
    </w:p>
    <w:p>
      <w:pPr>
        <w:pStyle w:val="ListNumber"/>
      </w:pPr>
      <w:r>
        <w:t>Reconcile calculated historical values against old reports where available.</w:t>
      </w:r>
    </w:p>
    <w:p>
      <w:pPr>
        <w:pStyle w:val="ListNumber"/>
      </w:pPr>
      <w:r>
        <w:t>Label historical reconstructed values as calculated or estimated unless confirmed by source snapshots.</w:t>
      </w:r>
    </w:p>
    <w:p>
      <w:pPr>
        <w:pStyle w:val="ListNumber"/>
      </w:pPr>
      <w:r>
        <w:t>Avoid relying only on the current state of [Asset].[Asset] for historical reporting.</w:t>
      </w:r>
    </w:p>
    <w:p>
      <w:pPr>
        <w:pStyle w:val="Heading1"/>
      </w:pPr>
      <w:r>
        <w:t>12. Recommended Controlled Output Table</w:t>
      </w:r>
    </w:p>
    <w:p>
      <w:r>
        <w:t>A controlled reporting table should be created to preserve final agreed fiscal year counts so future reports do not have to recalculate historical values from a changing live operational table.</w:t>
      </w:r>
    </w:p>
    <w:p>
      <w:pPr>
        <w:pStyle w:val="CodeBlock"/>
      </w:pPr>
      <w:r>
        <w:rPr>
          <w:rFonts w:ascii="Consolas" w:hAnsi="Consolas" w:eastAsia="Consolas"/>
          <w:sz w:val="16"/>
        </w:rPr>
        <w:t>CREATE TABLE dbo.Fleet_ActiveAsset_FY_Count (</w:t>
        <w:br/>
        <w:t xml:space="preserve">    FY INT NOT NULL,</w:t>
        <w:br/>
        <w:t xml:space="preserve">    ActiveAssetCount INT NOT NULL,</w:t>
        <w:br/>
        <w:t xml:space="preserve">    CountMethod VARCHAR(50) NOT NULL,</w:t>
        <w:br/>
        <w:t xml:space="preserve">    SnapshotDate DATE NULL,</w:t>
        <w:br/>
        <w:t xml:space="preserve">    SourceTable VARCHAR(100) NOT NULL,</w:t>
        <w:br/>
        <w:t xml:space="preserve">    ActiveStatusDefinition VARCHAR(100) NOT NULL,</w:t>
        <w:br/>
        <w:t xml:space="preserve">    OrganizationDefinition VARCHAR(100) NOT NULL,</w:t>
        <w:br/>
        <w:t xml:space="preserve">    Notes VARCHAR(500) NULL,</w:t>
        <w:br/>
        <w:t xml:space="preserve">    CreatedDate DATETIME DEFAULT GETDATE()</w:t>
        <w:br/>
        <w:t>);</w:t>
      </w:r>
    </w:p>
    <w:p>
      <w:pPr>
        <w:pStyle w:val="Heading1"/>
      </w:pPr>
      <w:r>
        <w:t>13. Governance and Change Management</w:t>
      </w:r>
    </w:p>
    <w:p>
      <w:r>
        <w:t>Because active asset counts are used for reporting, trend analysis, forecasting, and operational planning, changes to the calculation method should be controlled. Any future change should include the reason for the change, affected fiscal years, previous calculation logic, new calculation logic, impact on reported counts, and approval from the Transportation analytics or reporting owner.</w:t>
      </w:r>
    </w:p>
    <w:p>
      <w:pPr>
        <w:pStyle w:val="Heading1"/>
      </w:pPr>
      <w:r>
        <w:t>14. Final Design Decision</w:t>
      </w:r>
    </w:p>
    <w:p>
      <w:r>
        <w:t>The approved process should use daily snapshot counts as the preferred source for current and future fiscal year-end active asset totals. Historical values should be reconstructed only when a reliable snapshot does not exist. The FY2026 count of 2,674 active assets should serve as the current anchor point for backward calculation.</w:t>
      </w:r>
    </w:p>
    <w:p>
      <w:r>
        <w:t>The corrected removal logic uses OutServiceDate consistently for both counting and fiscal year grouping.</w:t>
      </w:r>
    </w:p>
    <w:p>
      <w:r>
        <w:br w:type="page"/>
      </w:r>
    </w:p>
    <w:p>
      <w:pPr>
        <w:pStyle w:val="Heading1"/>
      </w:pPr>
      <w:r>
        <w:t>Appendix A: Corrected SQL Script</w:t>
      </w:r>
    </w:p>
    <w:p>
      <w:pPr>
        <w:pStyle w:val="CodeBlock"/>
      </w:pPr>
      <w:r>
        <w:rPr>
          <w:rFonts w:ascii="Consolas" w:hAnsi="Consolas" w:eastAsia="Consolas"/>
          <w:sz w:val="16"/>
        </w:rPr>
        <w:t>DROP TABLE IF EXISTS #Outserv;</w:t>
        <w:br/>
        <w:t>DROP TABLE IF EXISTS #Addserv;</w:t>
        <w:br/>
        <w:t>DROP TABLE IF EXISTS #setup;</w:t>
        <w:br/>
        <w:br/>
        <w:t>/* Get a count of the number of vehicles that were taken out of the fleet.</w:t>
        <w:br/>
        <w:t xml:space="preserve">   Out of service is the timeframe of interest because the goal is to understand usable vehicles.</w:t>
        <w:br/>
        <w:t xml:space="preserve">   Corrected logic: use OutServiceDate for both the count and the fiscal year grouping. */</w:t>
        <w:br/>
        <w:t>SELECT</w:t>
        <w:br/>
        <w:t xml:space="preserve">    CASE</w:t>
        <w:br/>
        <w:t xml:space="preserve">        WHEN MONTH(OutServiceDate) &gt;= 5 THEN YEAR(OutServiceDate) + 1</w:t>
        <w:br/>
        <w:t xml:space="preserve">        ELSE YEAR(OutServiceDate)</w:t>
        <w:br/>
        <w:t xml:space="preserve">    END AS FY,</w:t>
        <w:br/>
        <w:t xml:space="preserve">    COUNT(OutServiceDate) AS OutServiceDate</w:t>
        <w:br/>
        <w:t>INTO #Outserv</w:t>
        <w:br/>
        <w:t>FROM asset.asset a</w:t>
        <w:br/>
        <w:t>LEFT JOIN asset.Dispose d</w:t>
        <w:br/>
        <w:t xml:space="preserve">    ON a.AssetID = d.AssetID</w:t>
        <w:br/>
        <w:t>WHERE a.AssetOrganization IN ('001','002')</w:t>
        <w:br/>
        <w:t>GROUP BY</w:t>
        <w:br/>
        <w:t xml:space="preserve">    CASE</w:t>
        <w:br/>
        <w:t xml:space="preserve">        WHEN MONTH(OutServiceDate) &gt;= 5 THEN YEAR(OutServiceDate) + 1</w:t>
        <w:br/>
        <w:t xml:space="preserve">        ELSE YEAR(OutServiceDate)</w:t>
        <w:br/>
        <w:t xml:space="preserve">    END;</w:t>
        <w:br/>
        <w:br/>
        <w:t>/* Get a count of the number of vehicles that were additions to the fleet. */</w:t>
        <w:br/>
        <w:t>SELECT</w:t>
        <w:br/>
        <w:t xml:space="preserve">    CASE</w:t>
        <w:br/>
        <w:t xml:space="preserve">        WHEN MONTH(InServiceDate) &gt;= 5 THEN YEAR(InServiceDate) + 1</w:t>
        <w:br/>
        <w:t xml:space="preserve">        ELSE YEAR(InServiceDate)</w:t>
        <w:br/>
        <w:t xml:space="preserve">    END AS FY,</w:t>
        <w:br/>
        <w:t xml:space="preserve">    COUNT(InServiceDate) AS InServiceDate,</w:t>
        <w:br/>
        <w:t xml:space="preserve">    COUNT(CASE</w:t>
        <w:br/>
        <w:t xml:space="preserve">              WHEN TRY_CAST(ReplacedAssetNumber AS FLOAT) IS NULL THEN 1</w:t>
        <w:br/>
        <w:t xml:space="preserve">          END) AS Adds</w:t>
        <w:br/>
        <w:t>INTO #Addserv</w:t>
        <w:br/>
        <w:t>FROM asset.asset a</w:t>
        <w:br/>
        <w:t>LEFT JOIN asset.Dispose d</w:t>
        <w:br/>
        <w:t xml:space="preserve">    ON a.AssetID = d.AssetID</w:t>
        <w:br/>
        <w:t>WHERE YEAR(InServiceDate) &gt; 2013</w:t>
        <w:br/>
        <w:t xml:space="preserve">  AND a.AssetOrganization IN ('001','002')</w:t>
        <w:br/>
        <w:t>GROUP BY</w:t>
        <w:br/>
        <w:t xml:space="preserve">    CASE</w:t>
        <w:br/>
        <w:t xml:space="preserve">        WHEN MONTH(InServiceDate) &gt;= 5 THEN YEAR(InServiceDate) + 1</w:t>
        <w:br/>
        <w:t xml:space="preserve">        ELSE YEAR(InServiceDate)</w:t>
        <w:br/>
        <w:t xml:space="preserve">    END;</w:t>
        <w:br/>
        <w:br/>
        <w:t>/* Daily snapshot validation for FY2026. */</w:t>
        <w:br/>
        <w:t>SELECT COUNT(*)</w:t>
        <w:br/>
        <w:t>FROM dbo.JMH_dailyrecord</w:t>
        <w:br/>
        <w:t>WHERE AssetOrganization IN ('001','002')</w:t>
        <w:br/>
        <w:t xml:space="preserve">  AND AssetStatus IN ('A','H','T','K')</w:t>
        <w:br/>
        <w:t xml:space="preserve">  AND date_record &gt;= '2026-04-30'</w:t>
        <w:br/>
        <w:t xml:space="preserve">  AND date_record &lt;  '2026-05-01';</w:t>
        <w:br/>
        <w:br/>
        <w:t>/* Setup table using FY2026 as the known anchor count. */</w:t>
        <w:br/>
        <w:t>SELECT</w:t>
        <w:br/>
        <w:t xml:space="preserve">    a.FY,</w:t>
        <w:br/>
        <w:t xml:space="preserve">    b.InServiceDate AS Total_Inservice,</w:t>
        <w:br/>
        <w:t xml:space="preserve">    a.OutServiceDate,</w:t>
        <w:br/>
        <w:t xml:space="preserve">    b.InServiceDate - a.OutServiceDate AS Delta,</w:t>
        <w:br/>
        <w:t xml:space="preserve">    CASE</w:t>
        <w:br/>
        <w:t xml:space="preserve">        WHEN a.FY = 2026 THEN 2674</w:t>
        <w:br/>
        <w:t xml:space="preserve">        ELSE NULL</w:t>
        <w:br/>
        <w:t xml:space="preserve">    END AS FY_Total</w:t>
        <w:br/>
        <w:t>INTO #setup</w:t>
        <w:br/>
        <w:t>FROM #Outserv a</w:t>
        <w:br/>
        <w:t>LEFT JOIN #Addserv b</w:t>
        <w:br/>
        <w:t xml:space="preserve">    ON a.FY = b.FY</w:t>
        <w:br/>
        <w:t>WHERE a.FY &gt; 2013</w:t>
        <w:br/>
        <w:t>ORDER BY FY DESC;</w:t>
        <w:br/>
        <w:br/>
        <w:t>WITH ordered AS (</w:t>
        <w:br/>
        <w:t xml:space="preserve">    SELECT *</w:t>
        <w:br/>
        <w:t xml:space="preserve">    FROM #setup</w:t>
        <w:br/>
        <w:t>),</w:t>
        <w:br/>
        <w:t>cte AS (</w:t>
        <w:br/>
        <w:t xml:space="preserve">    SELECT</w:t>
        <w:br/>
        <w:t xml:space="preserve">        FY,</w:t>
        <w:br/>
        <w:t xml:space="preserve">        Total_Inservice,</w:t>
        <w:br/>
        <w:t xml:space="preserve">        OutServiceDate,</w:t>
        <w:br/>
        <w:t xml:space="preserve">        Delta,</w:t>
        <w:br/>
        <w:t xml:space="preserve">        FY_Total</w:t>
        <w:br/>
        <w:t xml:space="preserve">    FROM ordered</w:t>
        <w:br/>
        <w:t xml:space="preserve">    WHERE FY = 2026</w:t>
        <w:br/>
        <w:br/>
        <w:t xml:space="preserve">    UNION ALL</w:t>
        <w:br/>
        <w:br/>
        <w:t xml:space="preserve">    SELECT</w:t>
        <w:br/>
        <w:t xml:space="preserve">        s.FY,</w:t>
        <w:br/>
        <w:t xml:space="preserve">        s.Total_Inservice,</w:t>
        <w:br/>
        <w:t xml:space="preserve">        s.OutServiceDate,</w:t>
        <w:br/>
        <w:t xml:space="preserve">        s.Delta,</w:t>
        <w:br/>
        <w:t xml:space="preserve">        c.FY_Total - c.Delta AS FY_Total</w:t>
        <w:br/>
        <w:t xml:space="preserve">    FROM ordered s</w:t>
        <w:br/>
        <w:t xml:space="preserve">    JOIN cte c</w:t>
        <w:br/>
        <w:t xml:space="preserve">        ON s.FY = c.FY - 1</w:t>
        <w:br/>
        <w:t>)</w:t>
        <w:br/>
        <w:t>SELECT *</w:t>
        <w:br/>
        <w:t>FROM cte</w:t>
        <w:br/>
        <w:t>ORDER BY FY DESC;</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Confidential working document | Prepared for process standardization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Transportation Analytics | Active Asset Count Process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88" w:right="144"/>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