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Process Design Management Plan</w:t>
        <w:br/>
        <w:t>Historical Fleet Mileage Reconstruction</w:t>
      </w:r>
    </w:p>
    <w:p>
      <w:pPr>
        <w:pBdr>
          <w:bottom w:val="single" w:sz="12" w:space="1" w:color="2F75B5"/>
        </w:pBdr>
        <w:spacing w:after="240"/>
      </w:pP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040"/>
        <w:gridCol w:w="5040"/>
      </w:tblGrid>
      <w:tr>
        <w:trPr>
          <w:cantSplit/>
        </w:trPr>
        <w:tc>
          <w:tcPr>
            <w:tcW w:type="dxa" w:w="3384"/>
            <w:vAlign w:val="center"/>
            <w:shd w:fill="D9EAF7"/>
          </w:tcPr>
          <w:p>
            <w:pPr>
              <w:spacing w:after="0"/>
            </w:pPr>
            <w:r/>
            <w:r>
              <w:rPr>
                <w:b/>
                <w:sz w:val="18"/>
              </w:rPr>
              <w:t>Primary source table</w:t>
            </w:r>
          </w:p>
        </w:tc>
        <w:tc>
          <w:tcPr>
            <w:tcW w:type="dxa" w:w="6983"/>
            <w:vAlign w:val="center"/>
          </w:tcPr>
          <w:p>
            <w:pPr>
              <w:spacing w:after="0"/>
            </w:pPr>
            <w:r/>
            <w:r>
              <w:rPr>
                <w:b w:val="0"/>
                <w:sz w:val="18"/>
              </w:rPr>
              <w:t>[FasterWeb].[dbo].[SRP_AssetMonthlyMeterData]</w:t>
            </w:r>
          </w:p>
        </w:tc>
      </w:tr>
      <w:tr>
        <w:trPr>
          <w:cantSplit/>
        </w:trPr>
        <w:tc>
          <w:tcPr>
            <w:tcW w:type="dxa" w:w="3384"/>
            <w:vAlign w:val="center"/>
            <w:shd w:fill="D9EAF7"/>
          </w:tcPr>
          <w:p>
            <w:pPr>
              <w:spacing w:after="0"/>
            </w:pPr>
            <w:r/>
            <w:r>
              <w:rPr>
                <w:b/>
                <w:sz w:val="18"/>
              </w:rPr>
              <w:t>Supporting methodology</w:t>
            </w:r>
          </w:p>
        </w:tc>
        <w:tc>
          <w:tcPr>
            <w:tcW w:type="dxa" w:w="6983"/>
            <w:vAlign w:val="center"/>
          </w:tcPr>
          <w:p>
            <w:pPr>
              <w:spacing w:after="0"/>
            </w:pPr>
            <w:r/>
            <w:r>
              <w:rPr>
                <w:b w:val="0"/>
                <w:sz w:val="18"/>
              </w:rPr>
              <w:t>Active_Asset_Count_PDMP.docx</w:t>
            </w:r>
          </w:p>
        </w:tc>
      </w:tr>
      <w:tr>
        <w:trPr>
          <w:cantSplit/>
        </w:trPr>
        <w:tc>
          <w:tcPr>
            <w:tcW w:type="dxa" w:w="3384"/>
            <w:vAlign w:val="center"/>
            <w:shd w:fill="D9EAF7"/>
          </w:tcPr>
          <w:p>
            <w:pPr>
              <w:spacing w:after="0"/>
            </w:pPr>
            <w:r/>
            <w:r>
              <w:rPr>
                <w:b/>
                <w:sz w:val="18"/>
              </w:rPr>
              <w:t>Fiscal year cycle</w:t>
            </w:r>
          </w:p>
        </w:tc>
        <w:tc>
          <w:tcPr>
            <w:tcW w:type="dxa" w:w="6983"/>
            <w:vAlign w:val="center"/>
          </w:tcPr>
          <w:p>
            <w:pPr>
              <w:spacing w:after="0"/>
            </w:pPr>
            <w:r/>
            <w:r>
              <w:rPr>
                <w:b w:val="0"/>
                <w:sz w:val="18"/>
              </w:rPr>
              <w:t>May 1 through April 30</w:t>
            </w:r>
          </w:p>
        </w:tc>
      </w:tr>
      <w:tr>
        <w:trPr>
          <w:cantSplit/>
        </w:trPr>
        <w:tc>
          <w:tcPr>
            <w:tcW w:type="dxa" w:w="3384"/>
            <w:vAlign w:val="center"/>
            <w:shd w:fill="D9EAF7"/>
          </w:tcPr>
          <w:p>
            <w:pPr>
              <w:spacing w:after="0"/>
            </w:pPr>
            <w:r/>
            <w:r>
              <w:rPr>
                <w:b/>
                <w:sz w:val="18"/>
              </w:rPr>
              <w:t>Starting mileage anchor</w:t>
            </w:r>
          </w:p>
        </w:tc>
        <w:tc>
          <w:tcPr>
            <w:tcW w:type="dxa" w:w="6983"/>
            <w:vAlign w:val="center"/>
          </w:tcPr>
          <w:p>
            <w:pPr>
              <w:spacing w:after="0"/>
            </w:pPr>
            <w:r/>
            <w:r>
              <w:rPr>
                <w:b w:val="0"/>
                <w:sz w:val="18"/>
              </w:rPr>
              <w:t>FY2016 = 12,700,000 miles driven</w:t>
            </w:r>
          </w:p>
        </w:tc>
      </w:tr>
      <w:tr>
        <w:trPr>
          <w:cantSplit/>
        </w:trPr>
        <w:tc>
          <w:tcPr>
            <w:tcW w:type="dxa" w:w="3384"/>
            <w:vAlign w:val="center"/>
            <w:shd w:fill="D9EAF7"/>
          </w:tcPr>
          <w:p>
            <w:pPr>
              <w:spacing w:after="0"/>
            </w:pPr>
            <w:r/>
            <w:r>
              <w:rPr>
                <w:b/>
                <w:sz w:val="18"/>
              </w:rPr>
              <w:t>Ending calibration anchor</w:t>
            </w:r>
          </w:p>
        </w:tc>
        <w:tc>
          <w:tcPr>
            <w:tcW w:type="dxa" w:w="6983"/>
            <w:vAlign w:val="center"/>
          </w:tcPr>
          <w:p>
            <w:pPr>
              <w:spacing w:after="0"/>
            </w:pPr>
            <w:r/>
            <w:r>
              <w:rPr>
                <w:b w:val="0"/>
                <w:sz w:val="18"/>
              </w:rPr>
              <w:t>FY2022 = 15,606,961 miles driven</w:t>
            </w:r>
          </w:p>
        </w:tc>
      </w:tr>
      <w:tr>
        <w:trPr>
          <w:cantSplit/>
        </w:trPr>
        <w:tc>
          <w:tcPr>
            <w:tcW w:type="dxa" w:w="3384"/>
            <w:vAlign w:val="center"/>
            <w:shd w:fill="D9EAF7"/>
          </w:tcPr>
          <w:p>
            <w:pPr>
              <w:spacing w:after="0"/>
            </w:pPr>
            <w:r/>
            <w:r>
              <w:rPr>
                <w:b/>
                <w:sz w:val="18"/>
              </w:rPr>
              <w:t>Current validation point</w:t>
            </w:r>
          </w:p>
        </w:tc>
        <w:tc>
          <w:tcPr>
            <w:tcW w:type="dxa" w:w="6983"/>
            <w:vAlign w:val="center"/>
          </w:tcPr>
          <w:p>
            <w:pPr>
              <w:spacing w:after="0"/>
            </w:pPr>
            <w:r/>
            <w:r>
              <w:rPr>
                <w:b w:val="0"/>
                <w:sz w:val="18"/>
              </w:rPr>
              <w:t>FY2026 = 18,015,975 miles driven</w:t>
            </w:r>
          </w:p>
        </w:tc>
      </w:tr>
      <w:tr>
        <w:trPr>
          <w:cantSplit/>
        </w:trPr>
        <w:tc>
          <w:tcPr>
            <w:tcW w:type="dxa" w:w="3384"/>
            <w:vAlign w:val="center"/>
            <w:shd w:fill="D9EAF7"/>
          </w:tcPr>
          <w:p>
            <w:pPr>
              <w:spacing w:after="0"/>
            </w:pPr>
            <w:r/>
            <w:r>
              <w:rPr>
                <w:b/>
                <w:sz w:val="18"/>
              </w:rPr>
              <w:t>Estimation unit</w:t>
            </w:r>
          </w:p>
        </w:tc>
        <w:tc>
          <w:tcPr>
            <w:tcW w:type="dxa" w:w="6983"/>
            <w:vAlign w:val="center"/>
          </w:tcPr>
          <w:p>
            <w:pPr>
              <w:spacing w:after="0"/>
            </w:pPr>
            <w:r/>
            <w:r>
              <w:rPr>
                <w:b w:val="0"/>
                <w:sz w:val="18"/>
              </w:rPr>
              <w:t>Miles per Active Asset (MPAA)</w:t>
            </w:r>
          </w:p>
        </w:tc>
      </w:tr>
    </w:tbl>
    <w:p/>
    <w:p>
      <w:pPr>
        <w:pStyle w:val="Heading1"/>
        <w:keepNext/>
        <w:spacing w:before="200" w:after="80"/>
      </w:pPr>
      <w:r>
        <w:t>1. Purpose</w:t>
      </w:r>
    </w:p>
    <w:p>
      <w:pPr>
        <w:spacing w:after="120"/>
      </w:pPr>
      <w:r>
        <w:t>The purpose of this Process Design Management Plan (PDMP) is to document the methodology used to estimate historical fleet mileage for fiscal years where complete mileage records do not exist or are known to be incomplete.</w:t>
      </w:r>
    </w:p>
    <w:p>
      <w:pPr>
        <w:spacing w:after="120"/>
      </w:pPr>
      <w:r>
        <w:t>Historical mileage records are unavailable for FY2017-FY2020, and FY2021 is known to be incomplete. The information gap is due to system changes, staff rotations, and improvements in data collection processes over time.</w:t>
      </w:r>
    </w:p>
    <w:p>
      <w:pPr>
        <w:spacing w:after="120"/>
      </w:pPr>
      <w:r>
        <w:t>The process establishes a repeatable, auditable, and statistically defensible approach for reconstructing historical mileage totals while maintaining consistency with the approved Active Asset Count methodology. The resulting estimates support Transportation reporting, trend analysis, forecasting, benchmarking, and long-term planning.</w:t>
      </w:r>
    </w:p>
    <w:p>
      <w:pPr>
        <w:pStyle w:val="Heading1"/>
        <w:keepNext/>
        <w:spacing w:before="200" w:after="80"/>
      </w:pPr>
      <w:r>
        <w:t>2. Primary Data Sources and Supporting Methodology</w:t>
      </w:r>
    </w:p>
    <w:p>
      <w:pPr>
        <w:spacing w:after="120"/>
      </w:pPr>
      <w:r>
        <w:t>Historical mileage reconstruction depends on two controlled inputs: reliable mileage totals from [FasterWeb].[dbo].[SRP_AssetMonthlyMeterData] and approved active asset counts from the Active Asset Count PDMP.</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040"/>
        <w:gridCol w:w="5040"/>
      </w:tblGrid>
      <w:tr>
        <w:trPr>
          <w:cantSplit/>
          <w:tblHeader w:val="true"/>
        </w:trPr>
        <w:tc>
          <w:tcPr>
            <w:tcW w:type="dxa" w:w="3816"/>
            <w:vAlign w:val="center"/>
            <w:shd w:fill="1F4E79"/>
          </w:tcPr>
          <w:p>
            <w:pPr>
              <w:spacing w:after="0"/>
            </w:pPr>
            <w:r/>
            <w:r>
              <w:rPr>
                <w:b/>
                <w:color w:val="FFFFFF"/>
                <w:sz w:val="17"/>
              </w:rPr>
              <w:t>Input</w:t>
            </w:r>
          </w:p>
        </w:tc>
        <w:tc>
          <w:tcPr>
            <w:tcW w:type="dxa" w:w="6552"/>
            <w:vAlign w:val="center"/>
            <w:shd w:fill="1F4E79"/>
          </w:tcPr>
          <w:p>
            <w:pPr>
              <w:spacing w:after="0"/>
            </w:pPr>
            <w:r/>
            <w:r>
              <w:rPr>
                <w:b/>
                <w:color w:val="FFFFFF"/>
                <w:sz w:val="17"/>
              </w:rPr>
              <w:t>Purpose</w:t>
            </w:r>
          </w:p>
        </w:tc>
      </w:tr>
      <w:tr>
        <w:trPr>
          <w:cantSplit/>
        </w:trPr>
        <w:tc>
          <w:tcPr>
            <w:tcW w:type="dxa" w:w="3816"/>
            <w:vAlign w:val="center"/>
          </w:tcPr>
          <w:p>
            <w:pPr>
              <w:spacing w:after="0"/>
            </w:pPr>
            <w:r/>
            <w:r>
              <w:rPr>
                <w:b w:val="0"/>
                <w:sz w:val="17"/>
              </w:rPr>
              <w:t>[FasterWeb].[dbo].[SRP_AssetMonthlyMeterData]</w:t>
            </w:r>
          </w:p>
        </w:tc>
        <w:tc>
          <w:tcPr>
            <w:tcW w:type="dxa" w:w="6552"/>
            <w:vAlign w:val="center"/>
          </w:tcPr>
          <w:p>
            <w:pPr>
              <w:spacing w:after="0"/>
            </w:pPr>
            <w:r/>
            <w:r>
              <w:rPr>
                <w:b w:val="0"/>
                <w:sz w:val="17"/>
              </w:rPr>
              <w:t>Primary source for mileage totals in reliable fiscal years.</w:t>
            </w:r>
          </w:p>
        </w:tc>
      </w:tr>
      <w:tr>
        <w:trPr>
          <w:cantSplit/>
        </w:trPr>
        <w:tc>
          <w:tcPr>
            <w:tcW w:type="dxa" w:w="3816"/>
            <w:vAlign w:val="center"/>
          </w:tcPr>
          <w:p>
            <w:pPr>
              <w:spacing w:after="0"/>
            </w:pPr>
            <w:r/>
            <w:r>
              <w:rPr>
                <w:b w:val="0"/>
                <w:sz w:val="17"/>
              </w:rPr>
              <w:t>Active_Asset_Count_PDMP.docx</w:t>
            </w:r>
          </w:p>
        </w:tc>
        <w:tc>
          <w:tcPr>
            <w:tcW w:type="dxa" w:w="6552"/>
            <w:vAlign w:val="center"/>
          </w:tcPr>
          <w:p>
            <w:pPr>
              <w:spacing w:after="0"/>
            </w:pPr>
            <w:r/>
            <w:r>
              <w:rPr>
                <w:b w:val="0"/>
                <w:sz w:val="17"/>
              </w:rPr>
              <w:t>Provides the approved active asset count methodology and fiscal-year vehicle population inputs.</w:t>
            </w:r>
          </w:p>
        </w:tc>
      </w:tr>
      <w:tr>
        <w:trPr>
          <w:cantSplit/>
        </w:trPr>
        <w:tc>
          <w:tcPr>
            <w:tcW w:type="dxa" w:w="3816"/>
            <w:vAlign w:val="center"/>
          </w:tcPr>
          <w:p>
            <w:pPr>
              <w:spacing w:after="0"/>
            </w:pPr>
            <w:r/>
            <w:r>
              <w:rPr>
                <w:b w:val="0"/>
                <w:sz w:val="17"/>
              </w:rPr>
              <w:t>FY2016 published mileage</w:t>
            </w:r>
          </w:p>
        </w:tc>
        <w:tc>
          <w:tcPr>
            <w:tcW w:type="dxa" w:w="6552"/>
            <w:vAlign w:val="center"/>
          </w:tcPr>
          <w:p>
            <w:pPr>
              <w:spacing w:after="0"/>
            </w:pPr>
            <w:r/>
            <w:r>
              <w:rPr>
                <w:b w:val="0"/>
                <w:sz w:val="17"/>
              </w:rPr>
              <w:t>Starting mileage anchor for the reconstruction period.</w:t>
            </w:r>
          </w:p>
        </w:tc>
      </w:tr>
      <w:tr>
        <w:trPr>
          <w:cantSplit/>
        </w:trPr>
        <w:tc>
          <w:tcPr>
            <w:tcW w:type="dxa" w:w="3816"/>
            <w:vAlign w:val="center"/>
          </w:tcPr>
          <w:p>
            <w:pPr>
              <w:spacing w:after="0"/>
            </w:pPr>
            <w:r/>
            <w:r>
              <w:rPr>
                <w:b w:val="0"/>
                <w:sz w:val="17"/>
              </w:rPr>
              <w:t>FY2022 modern mileage total</w:t>
            </w:r>
          </w:p>
        </w:tc>
        <w:tc>
          <w:tcPr>
            <w:tcW w:type="dxa" w:w="6552"/>
            <w:vAlign w:val="center"/>
          </w:tcPr>
          <w:p>
            <w:pPr>
              <w:spacing w:after="0"/>
            </w:pPr>
            <w:r/>
            <w:r>
              <w:rPr>
                <w:b w:val="0"/>
                <w:sz w:val="17"/>
              </w:rPr>
              <w:t>Ending calibration anchor because FY2022 is the first reliable modern mileage observation after the incomplete FY2021 period.</w:t>
            </w:r>
          </w:p>
        </w:tc>
      </w:tr>
    </w:tbl>
    <w:p/>
    <w:p>
      <w:pPr>
        <w:spacing w:after="120"/>
      </w:pPr>
      <w:r>
        <w:t>The approved active asset counts are treated as the fleet population driver. Mileage is then estimated by applying expected utilization, measured as miles per active asset, to those approved counts.</w:t>
      </w:r>
    </w:p>
    <w:p>
      <w:pPr>
        <w:pStyle w:val="Heading1"/>
        <w:keepNext/>
        <w:spacing w:before="200" w:after="80"/>
      </w:pPr>
      <w:r>
        <w:t>3. Fiscal Year Definition</w:t>
      </w:r>
    </w:p>
    <w:p>
      <w:pPr>
        <w:spacing w:after="120"/>
      </w:pPr>
      <w:r>
        <w:t>The fiscal year is based on a May-to-April cycle. Any date that falls in May or later is assigned to the following fiscal year. Dates from January through April remain in the calendar year.</w:t>
      </w:r>
    </w:p>
    <w:p>
      <w:pPr>
        <w:spacing w:after="120"/>
      </w:pPr>
      <w:r>
        <w:t>For example, April 30, 2026 belongs to FY2026. May 1, 2026 belongs to FY2027.</w:t>
      </w:r>
    </w:p>
    <w:p>
      <w:pPr>
        <w:pStyle w:val="Heading1"/>
        <w:keepNext/>
        <w:spacing w:before="200" w:after="80"/>
      </w:pPr>
      <w:r>
        <w:t>4. Business Problem and Scope</w:t>
      </w:r>
    </w:p>
    <w:p>
      <w:pPr>
        <w:spacing w:after="120"/>
      </w:pPr>
      <w:r>
        <w:t>Historical mileage reporting presents a challenge because complete vehicle usage records are not available for all fiscal years. As a result, a direct calculation of historical mileage is not possible for every year in the reconstruction period.</w:t>
      </w:r>
    </w:p>
    <w:p>
      <w:pPr>
        <w:spacing w:after="120"/>
      </w:pPr>
      <w:r>
        <w:t>Specific issues include:</w:t>
      </w:r>
    </w:p>
    <w:p>
      <w:pPr>
        <w:pStyle w:val="ListBullet"/>
        <w:spacing w:after="40"/>
      </w:pPr>
      <w:r>
        <w:t>Missing mileage records for multiple fiscal years.</w:t>
      </w:r>
    </w:p>
    <w:p>
      <w:pPr>
        <w:pStyle w:val="ListBullet"/>
        <w:spacing w:after="40"/>
      </w:pPr>
      <w:r>
        <w:t>Incomplete FY2021 mileage data that is not representative of a full fiscal year.</w:t>
      </w:r>
    </w:p>
    <w:p>
      <w:pPr>
        <w:pStyle w:val="ListBullet"/>
        <w:spacing w:after="40"/>
      </w:pPr>
      <w:r>
        <w:t>Changes in reporting systems and source data availability over time.</w:t>
      </w:r>
    </w:p>
    <w:p>
      <w:pPr>
        <w:pStyle w:val="ListBullet"/>
        <w:spacing w:after="40"/>
      </w:pPr>
      <w:r>
        <w:t>Inability to directly reconstruct all historical mileage from current operational tables.</w:t>
      </w:r>
    </w:p>
    <w:p>
      <w:pPr>
        <w:pStyle w:val="ListBullet"/>
        <w:spacing w:after="40"/>
      </w:pPr>
      <w:r>
        <w:t>Lack of reliable historical transaction-level mileage detail for the missing years.</w:t>
      </w:r>
    </w:p>
    <w:p>
      <w:pPr>
        <w:spacing w:after="120"/>
      </w:pPr>
      <w:r>
        <w:t>Scope note: FY2017-FY2021 are reconstructed values. FY2016 and FY2022 are used as mileage anchors, and FY2023-FY2026 are retained as reliable modern observations for reasonableness checks and forward-looking reporting.</w:t>
      </w:r>
    </w:p>
    <w:p>
      <w:pPr>
        <w:pStyle w:val="Heading1"/>
        <w:keepNext/>
        <w:spacing w:before="200" w:after="80"/>
      </w:pPr>
      <w:r>
        <w:t>5. Historical Reconciliation</w:t>
      </w:r>
    </w:p>
    <w:p>
      <w:pPr>
        <w:spacing w:after="120"/>
      </w:pPr>
      <w:r>
        <w:t>FY2022-FY2026 can be calculated using available mileage data, and FY2016 published fleet mileage is available as the starting anchor. Rather than assuming total fleet mileage grew linearly, the reconstruction uses active asset counts and miles per active asset (MPAA) to estimate missing years.</w:t>
      </w:r>
    </w:p>
    <w:p>
      <w:pPr>
        <w:spacing w:after="120"/>
      </w:pPr>
      <w:r>
        <w:t>The table below summarizes the most reliable available values used to frame the reconstruction:</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20"/>
        <w:gridCol w:w="2520"/>
        <w:gridCol w:w="2520"/>
        <w:gridCol w:w="2520"/>
      </w:tblGrid>
      <w:tr>
        <w:trPr>
          <w:cantSplit/>
          <w:tblHeader w:val="true"/>
        </w:trPr>
        <w:tc>
          <w:tcPr>
            <w:tcW w:type="dxa" w:w="1007"/>
            <w:vAlign w:val="center"/>
            <w:shd w:fill="1F4E79"/>
          </w:tcPr>
          <w:p>
            <w:pPr>
              <w:spacing w:after="0"/>
            </w:pPr>
            <w:r/>
            <w:r>
              <w:rPr>
                <w:b/>
                <w:color w:val="FFFFFF"/>
                <w:sz w:val="18"/>
              </w:rPr>
              <w:t>FY</w:t>
            </w:r>
          </w:p>
        </w:tc>
        <w:tc>
          <w:tcPr>
            <w:tcW w:type="dxa" w:w="2015"/>
            <w:vAlign w:val="center"/>
            <w:shd w:fill="1F4E79"/>
          </w:tcPr>
          <w:p>
            <w:pPr>
              <w:spacing w:after="0"/>
            </w:pPr>
            <w:r/>
            <w:r>
              <w:rPr>
                <w:b/>
                <w:color w:val="FFFFFF"/>
                <w:sz w:val="18"/>
              </w:rPr>
              <w:t>Active Assets</w:t>
            </w:r>
          </w:p>
        </w:tc>
        <w:tc>
          <w:tcPr>
            <w:tcW w:type="dxa" w:w="2304"/>
            <w:vAlign w:val="center"/>
            <w:shd w:fill="1F4E79"/>
          </w:tcPr>
          <w:p>
            <w:pPr>
              <w:spacing w:after="0"/>
            </w:pPr>
            <w:r/>
            <w:r>
              <w:rPr>
                <w:b/>
                <w:color w:val="FFFFFF"/>
                <w:sz w:val="18"/>
              </w:rPr>
              <w:t>Mileage</w:t>
            </w:r>
          </w:p>
        </w:tc>
        <w:tc>
          <w:tcPr>
            <w:tcW w:type="dxa" w:w="1440"/>
            <w:vAlign w:val="center"/>
            <w:shd w:fill="1F4E79"/>
          </w:tcPr>
          <w:p>
            <w:pPr>
              <w:spacing w:after="0"/>
            </w:pPr>
            <w:r/>
            <w:r>
              <w:rPr>
                <w:b/>
                <w:color w:val="FFFFFF"/>
                <w:sz w:val="18"/>
              </w:rPr>
              <w:t>MPAA</w:t>
            </w:r>
          </w:p>
        </w:tc>
      </w:tr>
      <w:tr>
        <w:trPr>
          <w:cantSplit/>
        </w:trPr>
        <w:tc>
          <w:tcPr>
            <w:tcW w:type="dxa" w:w="1007"/>
            <w:vAlign w:val="center"/>
          </w:tcPr>
          <w:p>
            <w:pPr>
              <w:spacing w:after="0"/>
            </w:pPr>
            <w:r/>
            <w:r>
              <w:rPr>
                <w:b w:val="0"/>
                <w:sz w:val="18"/>
              </w:rPr>
              <w:t>2016</w:t>
            </w:r>
          </w:p>
        </w:tc>
        <w:tc>
          <w:tcPr>
            <w:tcW w:type="dxa" w:w="2015"/>
            <w:vAlign w:val="center"/>
          </w:tcPr>
          <w:p>
            <w:pPr>
              <w:spacing w:after="0"/>
            </w:pPr>
            <w:r/>
            <w:r>
              <w:rPr>
                <w:b w:val="0"/>
                <w:sz w:val="18"/>
              </w:rPr>
              <w:t>2,309</w:t>
            </w:r>
          </w:p>
        </w:tc>
        <w:tc>
          <w:tcPr>
            <w:tcW w:type="dxa" w:w="2304"/>
            <w:vAlign w:val="center"/>
          </w:tcPr>
          <w:p>
            <w:pPr>
              <w:spacing w:after="0"/>
            </w:pPr>
            <w:r/>
            <w:r>
              <w:rPr>
                <w:b w:val="0"/>
                <w:sz w:val="18"/>
              </w:rPr>
              <w:t>12,700,000</w:t>
            </w:r>
          </w:p>
        </w:tc>
        <w:tc>
          <w:tcPr>
            <w:tcW w:type="dxa" w:w="1440"/>
            <w:vAlign w:val="center"/>
          </w:tcPr>
          <w:p>
            <w:pPr>
              <w:spacing w:after="0"/>
            </w:pPr>
            <w:r/>
            <w:r>
              <w:rPr>
                <w:b w:val="0"/>
                <w:sz w:val="18"/>
              </w:rPr>
              <w:t>5,500</w:t>
            </w:r>
          </w:p>
        </w:tc>
      </w:tr>
      <w:tr>
        <w:trPr>
          <w:cantSplit/>
        </w:trPr>
        <w:tc>
          <w:tcPr>
            <w:tcW w:type="dxa" w:w="1007"/>
            <w:vAlign w:val="center"/>
          </w:tcPr>
          <w:p>
            <w:pPr>
              <w:spacing w:after="0"/>
            </w:pPr>
            <w:r/>
            <w:r>
              <w:rPr>
                <w:b w:val="0"/>
                <w:sz w:val="18"/>
              </w:rPr>
              <w:t>2022</w:t>
            </w:r>
          </w:p>
        </w:tc>
        <w:tc>
          <w:tcPr>
            <w:tcW w:type="dxa" w:w="2015"/>
            <w:vAlign w:val="center"/>
          </w:tcPr>
          <w:p>
            <w:pPr>
              <w:spacing w:after="0"/>
            </w:pPr>
            <w:r/>
            <w:r>
              <w:rPr>
                <w:b w:val="0"/>
                <w:sz w:val="18"/>
              </w:rPr>
              <w:t>2,451</w:t>
            </w:r>
          </w:p>
        </w:tc>
        <w:tc>
          <w:tcPr>
            <w:tcW w:type="dxa" w:w="2304"/>
            <w:vAlign w:val="center"/>
          </w:tcPr>
          <w:p>
            <w:pPr>
              <w:spacing w:after="0"/>
            </w:pPr>
            <w:r/>
            <w:r>
              <w:rPr>
                <w:b w:val="0"/>
                <w:sz w:val="18"/>
              </w:rPr>
              <w:t>15,606,961</w:t>
            </w:r>
          </w:p>
        </w:tc>
        <w:tc>
          <w:tcPr>
            <w:tcW w:type="dxa" w:w="1440"/>
            <w:vAlign w:val="center"/>
          </w:tcPr>
          <w:p>
            <w:pPr>
              <w:spacing w:after="0"/>
            </w:pPr>
            <w:r/>
            <w:r>
              <w:rPr>
                <w:b w:val="0"/>
                <w:sz w:val="18"/>
              </w:rPr>
              <w:t>6,367</w:t>
            </w:r>
          </w:p>
        </w:tc>
      </w:tr>
      <w:tr>
        <w:trPr>
          <w:cantSplit/>
        </w:trPr>
        <w:tc>
          <w:tcPr>
            <w:tcW w:type="dxa" w:w="1007"/>
            <w:vAlign w:val="center"/>
          </w:tcPr>
          <w:p>
            <w:pPr>
              <w:spacing w:after="0"/>
            </w:pPr>
            <w:r/>
            <w:r>
              <w:rPr>
                <w:b w:val="0"/>
                <w:sz w:val="18"/>
              </w:rPr>
              <w:t>2023</w:t>
            </w:r>
          </w:p>
        </w:tc>
        <w:tc>
          <w:tcPr>
            <w:tcW w:type="dxa" w:w="2015"/>
            <w:vAlign w:val="center"/>
          </w:tcPr>
          <w:p>
            <w:pPr>
              <w:spacing w:after="0"/>
            </w:pPr>
            <w:r/>
            <w:r>
              <w:rPr>
                <w:b w:val="0"/>
                <w:sz w:val="18"/>
              </w:rPr>
              <w:t>2,422</w:t>
            </w:r>
          </w:p>
        </w:tc>
        <w:tc>
          <w:tcPr>
            <w:tcW w:type="dxa" w:w="2304"/>
            <w:vAlign w:val="center"/>
          </w:tcPr>
          <w:p>
            <w:pPr>
              <w:spacing w:after="0"/>
            </w:pPr>
            <w:r/>
            <w:r>
              <w:rPr>
                <w:b w:val="0"/>
                <w:sz w:val="18"/>
              </w:rPr>
              <w:t>16,817,999</w:t>
            </w:r>
          </w:p>
        </w:tc>
        <w:tc>
          <w:tcPr>
            <w:tcW w:type="dxa" w:w="1440"/>
            <w:vAlign w:val="center"/>
          </w:tcPr>
          <w:p>
            <w:pPr>
              <w:spacing w:after="0"/>
            </w:pPr>
            <w:r/>
            <w:r>
              <w:rPr>
                <w:b w:val="0"/>
                <w:sz w:val="18"/>
              </w:rPr>
              <w:t>6,944</w:t>
            </w:r>
          </w:p>
        </w:tc>
      </w:tr>
      <w:tr>
        <w:trPr>
          <w:cantSplit/>
        </w:trPr>
        <w:tc>
          <w:tcPr>
            <w:tcW w:type="dxa" w:w="1007"/>
            <w:vAlign w:val="center"/>
          </w:tcPr>
          <w:p>
            <w:pPr>
              <w:spacing w:after="0"/>
            </w:pPr>
            <w:r/>
            <w:r>
              <w:rPr>
                <w:b w:val="0"/>
                <w:sz w:val="18"/>
              </w:rPr>
              <w:t>2024</w:t>
            </w:r>
          </w:p>
        </w:tc>
        <w:tc>
          <w:tcPr>
            <w:tcW w:type="dxa" w:w="2015"/>
            <w:vAlign w:val="center"/>
          </w:tcPr>
          <w:p>
            <w:pPr>
              <w:spacing w:after="0"/>
            </w:pPr>
            <w:r/>
            <w:r>
              <w:rPr>
                <w:b w:val="0"/>
                <w:sz w:val="18"/>
              </w:rPr>
              <w:t>2,475</w:t>
            </w:r>
          </w:p>
        </w:tc>
        <w:tc>
          <w:tcPr>
            <w:tcW w:type="dxa" w:w="2304"/>
            <w:vAlign w:val="center"/>
          </w:tcPr>
          <w:p>
            <w:pPr>
              <w:spacing w:after="0"/>
            </w:pPr>
            <w:r/>
            <w:r>
              <w:rPr>
                <w:b w:val="0"/>
                <w:sz w:val="18"/>
              </w:rPr>
              <w:t>16,969,025</w:t>
            </w:r>
          </w:p>
        </w:tc>
        <w:tc>
          <w:tcPr>
            <w:tcW w:type="dxa" w:w="1440"/>
            <w:vAlign w:val="center"/>
          </w:tcPr>
          <w:p>
            <w:pPr>
              <w:spacing w:after="0"/>
            </w:pPr>
            <w:r/>
            <w:r>
              <w:rPr>
                <w:b w:val="0"/>
                <w:sz w:val="18"/>
              </w:rPr>
              <w:t>6,856</w:t>
            </w:r>
          </w:p>
        </w:tc>
      </w:tr>
      <w:tr>
        <w:trPr>
          <w:cantSplit/>
        </w:trPr>
        <w:tc>
          <w:tcPr>
            <w:tcW w:type="dxa" w:w="1007"/>
            <w:vAlign w:val="center"/>
          </w:tcPr>
          <w:p>
            <w:pPr>
              <w:spacing w:after="0"/>
            </w:pPr>
            <w:r/>
            <w:r>
              <w:rPr>
                <w:b w:val="0"/>
                <w:sz w:val="18"/>
              </w:rPr>
              <w:t>2025</w:t>
            </w:r>
          </w:p>
        </w:tc>
        <w:tc>
          <w:tcPr>
            <w:tcW w:type="dxa" w:w="2015"/>
            <w:vAlign w:val="center"/>
          </w:tcPr>
          <w:p>
            <w:pPr>
              <w:spacing w:after="0"/>
            </w:pPr>
            <w:r/>
            <w:r>
              <w:rPr>
                <w:b w:val="0"/>
                <w:sz w:val="18"/>
              </w:rPr>
              <w:t>2,604</w:t>
            </w:r>
          </w:p>
        </w:tc>
        <w:tc>
          <w:tcPr>
            <w:tcW w:type="dxa" w:w="2304"/>
            <w:vAlign w:val="center"/>
          </w:tcPr>
          <w:p>
            <w:pPr>
              <w:spacing w:after="0"/>
            </w:pPr>
            <w:r/>
            <w:r>
              <w:rPr>
                <w:b w:val="0"/>
                <w:sz w:val="18"/>
              </w:rPr>
              <w:t>17,429,810</w:t>
            </w:r>
          </w:p>
        </w:tc>
        <w:tc>
          <w:tcPr>
            <w:tcW w:type="dxa" w:w="1440"/>
            <w:vAlign w:val="center"/>
          </w:tcPr>
          <w:p>
            <w:pPr>
              <w:spacing w:after="0"/>
            </w:pPr>
            <w:r/>
            <w:r>
              <w:rPr>
                <w:b w:val="0"/>
                <w:sz w:val="18"/>
              </w:rPr>
              <w:t>6,693</w:t>
            </w:r>
          </w:p>
        </w:tc>
      </w:tr>
      <w:tr>
        <w:trPr>
          <w:cantSplit/>
        </w:trPr>
        <w:tc>
          <w:tcPr>
            <w:tcW w:type="dxa" w:w="1007"/>
            <w:vAlign w:val="center"/>
          </w:tcPr>
          <w:p>
            <w:pPr>
              <w:spacing w:after="0"/>
            </w:pPr>
            <w:r/>
            <w:r>
              <w:rPr>
                <w:b w:val="0"/>
                <w:sz w:val="18"/>
              </w:rPr>
              <w:t>2026</w:t>
            </w:r>
          </w:p>
        </w:tc>
        <w:tc>
          <w:tcPr>
            <w:tcW w:type="dxa" w:w="2015"/>
            <w:vAlign w:val="center"/>
          </w:tcPr>
          <w:p>
            <w:pPr>
              <w:spacing w:after="0"/>
            </w:pPr>
            <w:r/>
            <w:r>
              <w:rPr>
                <w:b w:val="0"/>
                <w:sz w:val="18"/>
              </w:rPr>
              <w:t>2,674</w:t>
            </w:r>
          </w:p>
        </w:tc>
        <w:tc>
          <w:tcPr>
            <w:tcW w:type="dxa" w:w="2304"/>
            <w:vAlign w:val="center"/>
          </w:tcPr>
          <w:p>
            <w:pPr>
              <w:spacing w:after="0"/>
            </w:pPr>
            <w:r/>
            <w:r>
              <w:rPr>
                <w:b w:val="0"/>
                <w:sz w:val="18"/>
              </w:rPr>
              <w:t>18,015,975</w:t>
            </w:r>
          </w:p>
        </w:tc>
        <w:tc>
          <w:tcPr>
            <w:tcW w:type="dxa" w:w="1440"/>
            <w:vAlign w:val="center"/>
          </w:tcPr>
          <w:p>
            <w:pPr>
              <w:spacing w:after="0"/>
            </w:pPr>
            <w:r/>
            <w:r>
              <w:rPr>
                <w:b w:val="0"/>
                <w:sz w:val="18"/>
              </w:rPr>
              <w:t>6,738</w:t>
            </w:r>
          </w:p>
        </w:tc>
      </w:tr>
    </w:tbl>
    <w:p/>
    <w:p>
      <w:pPr>
        <w:pStyle w:val="Heading1"/>
        <w:keepNext/>
        <w:spacing w:before="200" w:after="80"/>
      </w:pPr>
      <w:r>
        <w:t>6. Vehicle-Utilization Estimation Method</w:t>
      </w:r>
    </w:p>
    <w:p>
      <w:pPr>
        <w:pStyle w:val="Heading2"/>
        <w:keepNext/>
        <w:spacing w:before="120" w:after="80"/>
      </w:pPr>
      <w:r>
        <w:t>6.1 Anchor Utilization Trend</w:t>
      </w:r>
    </w:p>
    <w:p>
      <w:pPr>
        <w:spacing w:after="120"/>
      </w:pPr>
      <w:r>
        <w:t>Because FY2021 is incomplete and unsuitable as an observed mileage point, utilization is modeled using the known FY2016 and FY2022 anchor years. This creates six fiscal-year intervals from FY2016 to FY2022.</w:t>
      </w:r>
    </w:p>
    <w:p>
      <w:pPr>
        <w:pStyle w:val="CodeBlock"/>
        <w:spacing w:after="120"/>
      </w:pPr>
      <w:r>
        <w:t>FY2016 MPAA = 12,700,000 / 2,309 = 5,500</w:t>
        <w:br/>
        <w:t>FY2022 MPAA = 15,606,961 / 2,451 = 6,367</w:t>
        <w:br/>
        <w:t>Annual MPAA change = (6,367 - 5,500) / 6 = approximately 145 miles per active asset per year</w:t>
      </w:r>
    </w:p>
    <w:p>
      <w:pPr>
        <w:spacing w:after="120"/>
      </w:pPr>
      <w:r>
        <w:t>The annual MPAA growth rate is then applied to the approved active asset counts for the missing fiscal years. Estimated annual mileage equals the active asset count multiplied by the estimated MPAA for that fiscal year.</w:t>
      </w:r>
    </w:p>
    <w:p>
      <w:pPr>
        <w:pStyle w:val="Heading2"/>
        <w:keepNext/>
        <w:spacing w:before="120" w:after="80"/>
      </w:pPr>
      <w:r>
        <w:t>6.2 Missing-Year Estimate</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016"/>
        <w:gridCol w:w="2016"/>
        <w:gridCol w:w="2016"/>
        <w:gridCol w:w="2016"/>
        <w:gridCol w:w="2016"/>
      </w:tblGrid>
      <w:tr>
        <w:trPr>
          <w:cantSplit/>
          <w:tblHeader w:val="true"/>
        </w:trPr>
        <w:tc>
          <w:tcPr>
            <w:tcW w:type="dxa" w:w="792"/>
            <w:vAlign w:val="center"/>
            <w:shd w:fill="1F4E79"/>
          </w:tcPr>
          <w:p>
            <w:pPr>
              <w:spacing w:after="0"/>
            </w:pPr>
            <w:r/>
            <w:r>
              <w:rPr>
                <w:b/>
                <w:color w:val="FFFFFF"/>
                <w:sz w:val="16"/>
              </w:rPr>
              <w:t>FY</w:t>
            </w:r>
          </w:p>
        </w:tc>
        <w:tc>
          <w:tcPr>
            <w:tcW w:type="dxa" w:w="1512"/>
            <w:vAlign w:val="center"/>
            <w:shd w:fill="1F4E79"/>
          </w:tcPr>
          <w:p>
            <w:pPr>
              <w:spacing w:after="0"/>
            </w:pPr>
            <w:r/>
            <w:r>
              <w:rPr>
                <w:b/>
                <w:color w:val="FFFFFF"/>
                <w:sz w:val="16"/>
              </w:rPr>
              <w:t>Active Assets</w:t>
            </w:r>
          </w:p>
        </w:tc>
        <w:tc>
          <w:tcPr>
            <w:tcW w:type="dxa" w:w="1368"/>
            <w:vAlign w:val="center"/>
            <w:shd w:fill="1F4E79"/>
          </w:tcPr>
          <w:p>
            <w:pPr>
              <w:spacing w:after="0"/>
            </w:pPr>
            <w:r/>
            <w:r>
              <w:rPr>
                <w:b/>
                <w:color w:val="FFFFFF"/>
                <w:sz w:val="16"/>
              </w:rPr>
              <w:t>Display MPAA</w:t>
            </w:r>
          </w:p>
        </w:tc>
        <w:tc>
          <w:tcPr>
            <w:tcW w:type="dxa" w:w="2088"/>
            <w:vAlign w:val="center"/>
            <w:shd w:fill="1F4E79"/>
          </w:tcPr>
          <w:p>
            <w:pPr>
              <w:spacing w:after="0"/>
            </w:pPr>
            <w:r/>
            <w:r>
              <w:rPr>
                <w:b/>
                <w:color w:val="FFFFFF"/>
                <w:sz w:val="16"/>
              </w:rPr>
              <w:t>Mileage / Estimate</w:t>
            </w:r>
          </w:p>
        </w:tc>
        <w:tc>
          <w:tcPr>
            <w:tcW w:type="dxa" w:w="3456"/>
            <w:vAlign w:val="center"/>
            <w:shd w:fill="1F4E79"/>
          </w:tcPr>
          <w:p>
            <w:pPr>
              <w:spacing w:after="0"/>
            </w:pPr>
            <w:r/>
            <w:r>
              <w:rPr>
                <w:b/>
                <w:color w:val="FFFFFF"/>
                <w:sz w:val="16"/>
              </w:rPr>
              <w:t>Status</w:t>
            </w:r>
          </w:p>
        </w:tc>
      </w:tr>
      <w:tr>
        <w:trPr>
          <w:cantSplit/>
        </w:trPr>
        <w:tc>
          <w:tcPr>
            <w:tcW w:type="dxa" w:w="792"/>
            <w:vAlign w:val="center"/>
          </w:tcPr>
          <w:p>
            <w:pPr>
              <w:spacing w:after="0"/>
            </w:pPr>
            <w:r/>
            <w:r>
              <w:rPr>
                <w:b w:val="0"/>
                <w:sz w:val="16"/>
              </w:rPr>
              <w:t>2016</w:t>
            </w:r>
          </w:p>
        </w:tc>
        <w:tc>
          <w:tcPr>
            <w:tcW w:type="dxa" w:w="1512"/>
            <w:vAlign w:val="center"/>
          </w:tcPr>
          <w:p>
            <w:pPr>
              <w:spacing w:after="0"/>
            </w:pPr>
            <w:r/>
            <w:r>
              <w:rPr>
                <w:b w:val="0"/>
                <w:sz w:val="16"/>
              </w:rPr>
              <w:t>2,309</w:t>
            </w:r>
          </w:p>
        </w:tc>
        <w:tc>
          <w:tcPr>
            <w:tcW w:type="dxa" w:w="1368"/>
            <w:vAlign w:val="center"/>
          </w:tcPr>
          <w:p>
            <w:pPr>
              <w:spacing w:after="0"/>
            </w:pPr>
            <w:r/>
            <w:r>
              <w:rPr>
                <w:b w:val="0"/>
                <w:sz w:val="16"/>
              </w:rPr>
              <w:t>5,500</w:t>
            </w:r>
          </w:p>
        </w:tc>
        <w:tc>
          <w:tcPr>
            <w:tcW w:type="dxa" w:w="2088"/>
            <w:vAlign w:val="center"/>
          </w:tcPr>
          <w:p>
            <w:pPr>
              <w:spacing w:after="0"/>
            </w:pPr>
            <w:r/>
            <w:r>
              <w:rPr>
                <w:b w:val="0"/>
                <w:sz w:val="16"/>
              </w:rPr>
              <w:t>12,700,000</w:t>
            </w:r>
          </w:p>
        </w:tc>
        <w:tc>
          <w:tcPr>
            <w:tcW w:type="dxa" w:w="3456"/>
            <w:vAlign w:val="center"/>
          </w:tcPr>
          <w:p>
            <w:pPr>
              <w:spacing w:after="0"/>
            </w:pPr>
            <w:r/>
            <w:r>
              <w:rPr>
                <w:b w:val="0"/>
                <w:sz w:val="16"/>
              </w:rPr>
              <w:t>Actual anchor</w:t>
            </w:r>
          </w:p>
        </w:tc>
      </w:tr>
      <w:tr>
        <w:trPr>
          <w:cantSplit/>
        </w:trPr>
        <w:tc>
          <w:tcPr>
            <w:tcW w:type="dxa" w:w="792"/>
            <w:vAlign w:val="center"/>
          </w:tcPr>
          <w:p>
            <w:pPr>
              <w:spacing w:after="0"/>
            </w:pPr>
            <w:r/>
            <w:r>
              <w:rPr>
                <w:b w:val="0"/>
                <w:sz w:val="16"/>
              </w:rPr>
              <w:t>2017</w:t>
            </w:r>
          </w:p>
        </w:tc>
        <w:tc>
          <w:tcPr>
            <w:tcW w:type="dxa" w:w="1512"/>
            <w:vAlign w:val="center"/>
          </w:tcPr>
          <w:p>
            <w:pPr>
              <w:spacing w:after="0"/>
            </w:pPr>
            <w:r/>
            <w:r>
              <w:rPr>
                <w:b w:val="0"/>
                <w:sz w:val="16"/>
              </w:rPr>
              <w:t>2,308</w:t>
            </w:r>
          </w:p>
        </w:tc>
        <w:tc>
          <w:tcPr>
            <w:tcW w:type="dxa" w:w="1368"/>
            <w:vAlign w:val="center"/>
          </w:tcPr>
          <w:p>
            <w:pPr>
              <w:spacing w:after="0"/>
            </w:pPr>
            <w:r/>
            <w:r>
              <w:rPr>
                <w:b w:val="0"/>
                <w:sz w:val="16"/>
              </w:rPr>
              <w:t>5,645</w:t>
            </w:r>
          </w:p>
        </w:tc>
        <w:tc>
          <w:tcPr>
            <w:tcW w:type="dxa" w:w="2088"/>
            <w:vAlign w:val="center"/>
          </w:tcPr>
          <w:p>
            <w:pPr>
              <w:spacing w:after="0"/>
            </w:pPr>
            <w:r/>
            <w:r>
              <w:rPr>
                <w:b w:val="0"/>
                <w:sz w:val="16"/>
              </w:rPr>
              <w:t>13,027,660</w:t>
            </w:r>
          </w:p>
        </w:tc>
        <w:tc>
          <w:tcPr>
            <w:tcW w:type="dxa" w:w="3456"/>
            <w:vAlign w:val="center"/>
          </w:tcPr>
          <w:p>
            <w:pPr>
              <w:spacing w:after="0"/>
            </w:pPr>
            <w:r/>
            <w:r>
              <w:rPr>
                <w:b w:val="0"/>
                <w:sz w:val="16"/>
              </w:rPr>
              <w:t>Estimated</w:t>
            </w:r>
          </w:p>
        </w:tc>
      </w:tr>
      <w:tr>
        <w:trPr>
          <w:cantSplit/>
        </w:trPr>
        <w:tc>
          <w:tcPr>
            <w:tcW w:type="dxa" w:w="792"/>
            <w:vAlign w:val="center"/>
          </w:tcPr>
          <w:p>
            <w:pPr>
              <w:spacing w:after="0"/>
            </w:pPr>
            <w:r/>
            <w:r>
              <w:rPr>
                <w:b w:val="0"/>
                <w:sz w:val="16"/>
              </w:rPr>
              <w:t>2018</w:t>
            </w:r>
          </w:p>
        </w:tc>
        <w:tc>
          <w:tcPr>
            <w:tcW w:type="dxa" w:w="1512"/>
            <w:vAlign w:val="center"/>
          </w:tcPr>
          <w:p>
            <w:pPr>
              <w:spacing w:after="0"/>
            </w:pPr>
            <w:r/>
            <w:r>
              <w:rPr>
                <w:b w:val="0"/>
                <w:sz w:val="16"/>
              </w:rPr>
              <w:t>2,351</w:t>
            </w:r>
          </w:p>
        </w:tc>
        <w:tc>
          <w:tcPr>
            <w:tcW w:type="dxa" w:w="1368"/>
            <w:vAlign w:val="center"/>
          </w:tcPr>
          <w:p>
            <w:pPr>
              <w:spacing w:after="0"/>
            </w:pPr>
            <w:r/>
            <w:r>
              <w:rPr>
                <w:b w:val="0"/>
                <w:sz w:val="16"/>
              </w:rPr>
              <w:t>5,789</w:t>
            </w:r>
          </w:p>
        </w:tc>
        <w:tc>
          <w:tcPr>
            <w:tcW w:type="dxa" w:w="2088"/>
            <w:vAlign w:val="center"/>
          </w:tcPr>
          <w:p>
            <w:pPr>
              <w:spacing w:after="0"/>
            </w:pPr>
            <w:r/>
            <w:r>
              <w:rPr>
                <w:b w:val="0"/>
                <w:sz w:val="16"/>
              </w:rPr>
              <w:t>13,609,939</w:t>
            </w:r>
          </w:p>
        </w:tc>
        <w:tc>
          <w:tcPr>
            <w:tcW w:type="dxa" w:w="3456"/>
            <w:vAlign w:val="center"/>
          </w:tcPr>
          <w:p>
            <w:pPr>
              <w:spacing w:after="0"/>
            </w:pPr>
            <w:r/>
            <w:r>
              <w:rPr>
                <w:b w:val="0"/>
                <w:sz w:val="16"/>
              </w:rPr>
              <w:t>Estimated</w:t>
            </w:r>
          </w:p>
        </w:tc>
      </w:tr>
      <w:tr>
        <w:trPr>
          <w:cantSplit/>
        </w:trPr>
        <w:tc>
          <w:tcPr>
            <w:tcW w:type="dxa" w:w="792"/>
            <w:vAlign w:val="center"/>
          </w:tcPr>
          <w:p>
            <w:pPr>
              <w:spacing w:after="0"/>
            </w:pPr>
            <w:r/>
            <w:r>
              <w:rPr>
                <w:b w:val="0"/>
                <w:sz w:val="16"/>
              </w:rPr>
              <w:t>2019</w:t>
            </w:r>
          </w:p>
        </w:tc>
        <w:tc>
          <w:tcPr>
            <w:tcW w:type="dxa" w:w="1512"/>
            <w:vAlign w:val="center"/>
          </w:tcPr>
          <w:p>
            <w:pPr>
              <w:spacing w:after="0"/>
            </w:pPr>
            <w:r/>
            <w:r>
              <w:rPr>
                <w:b w:val="0"/>
                <w:sz w:val="16"/>
              </w:rPr>
              <w:t>2,381</w:t>
            </w:r>
          </w:p>
        </w:tc>
        <w:tc>
          <w:tcPr>
            <w:tcW w:type="dxa" w:w="1368"/>
            <w:vAlign w:val="center"/>
          </w:tcPr>
          <w:p>
            <w:pPr>
              <w:spacing w:after="0"/>
            </w:pPr>
            <w:r/>
            <w:r>
              <w:rPr>
                <w:b w:val="0"/>
                <w:sz w:val="16"/>
              </w:rPr>
              <w:t>5,934</w:t>
            </w:r>
          </w:p>
        </w:tc>
        <w:tc>
          <w:tcPr>
            <w:tcW w:type="dxa" w:w="2088"/>
            <w:vAlign w:val="center"/>
          </w:tcPr>
          <w:p>
            <w:pPr>
              <w:spacing w:after="0"/>
            </w:pPr>
            <w:r/>
            <w:r>
              <w:rPr>
                <w:b w:val="0"/>
                <w:sz w:val="16"/>
              </w:rPr>
              <w:t>14,130,954</w:t>
            </w:r>
          </w:p>
        </w:tc>
        <w:tc>
          <w:tcPr>
            <w:tcW w:type="dxa" w:w="3456"/>
            <w:vAlign w:val="center"/>
          </w:tcPr>
          <w:p>
            <w:pPr>
              <w:spacing w:after="0"/>
            </w:pPr>
            <w:r/>
            <w:r>
              <w:rPr>
                <w:b w:val="0"/>
                <w:sz w:val="16"/>
              </w:rPr>
              <w:t>Estimated</w:t>
            </w:r>
          </w:p>
        </w:tc>
      </w:tr>
      <w:tr>
        <w:trPr>
          <w:cantSplit/>
        </w:trPr>
        <w:tc>
          <w:tcPr>
            <w:tcW w:type="dxa" w:w="792"/>
            <w:vAlign w:val="center"/>
          </w:tcPr>
          <w:p>
            <w:pPr>
              <w:spacing w:after="0"/>
            </w:pPr>
            <w:r/>
            <w:r>
              <w:rPr>
                <w:b w:val="0"/>
                <w:sz w:val="16"/>
              </w:rPr>
              <w:t>2020</w:t>
            </w:r>
          </w:p>
        </w:tc>
        <w:tc>
          <w:tcPr>
            <w:tcW w:type="dxa" w:w="1512"/>
            <w:vAlign w:val="center"/>
          </w:tcPr>
          <w:p>
            <w:pPr>
              <w:spacing w:after="0"/>
            </w:pPr>
            <w:r/>
            <w:r>
              <w:rPr>
                <w:b w:val="0"/>
                <w:sz w:val="16"/>
              </w:rPr>
              <w:t>2,411</w:t>
            </w:r>
          </w:p>
        </w:tc>
        <w:tc>
          <w:tcPr>
            <w:tcW w:type="dxa" w:w="1368"/>
            <w:vAlign w:val="center"/>
          </w:tcPr>
          <w:p>
            <w:pPr>
              <w:spacing w:after="0"/>
            </w:pPr>
            <w:r/>
            <w:r>
              <w:rPr>
                <w:b w:val="0"/>
                <w:sz w:val="16"/>
              </w:rPr>
              <w:t>6,078</w:t>
            </w:r>
          </w:p>
        </w:tc>
        <w:tc>
          <w:tcPr>
            <w:tcW w:type="dxa" w:w="2088"/>
            <w:vAlign w:val="center"/>
          </w:tcPr>
          <w:p>
            <w:pPr>
              <w:spacing w:after="0"/>
            </w:pPr>
            <w:r/>
            <w:r>
              <w:rPr>
                <w:b w:val="0"/>
                <w:sz w:val="16"/>
              </w:rPr>
              <w:t>14,652,258</w:t>
            </w:r>
          </w:p>
        </w:tc>
        <w:tc>
          <w:tcPr>
            <w:tcW w:type="dxa" w:w="3456"/>
            <w:vAlign w:val="center"/>
          </w:tcPr>
          <w:p>
            <w:pPr>
              <w:spacing w:after="0"/>
            </w:pPr>
            <w:r/>
            <w:r>
              <w:rPr>
                <w:b w:val="0"/>
                <w:sz w:val="16"/>
              </w:rPr>
              <w:t>Estimated</w:t>
            </w:r>
          </w:p>
        </w:tc>
      </w:tr>
      <w:tr>
        <w:trPr>
          <w:cantSplit/>
        </w:trPr>
        <w:tc>
          <w:tcPr>
            <w:tcW w:type="dxa" w:w="792"/>
            <w:vAlign w:val="center"/>
          </w:tcPr>
          <w:p>
            <w:pPr>
              <w:spacing w:after="0"/>
            </w:pPr>
            <w:r/>
            <w:r>
              <w:rPr>
                <w:b w:val="0"/>
                <w:sz w:val="16"/>
              </w:rPr>
              <w:t>2021</w:t>
            </w:r>
          </w:p>
        </w:tc>
        <w:tc>
          <w:tcPr>
            <w:tcW w:type="dxa" w:w="1512"/>
            <w:vAlign w:val="center"/>
          </w:tcPr>
          <w:p>
            <w:pPr>
              <w:spacing w:after="0"/>
            </w:pPr>
            <w:r/>
            <w:r>
              <w:rPr>
                <w:b w:val="0"/>
                <w:sz w:val="16"/>
              </w:rPr>
              <w:t>2,461</w:t>
            </w:r>
          </w:p>
        </w:tc>
        <w:tc>
          <w:tcPr>
            <w:tcW w:type="dxa" w:w="1368"/>
            <w:vAlign w:val="center"/>
          </w:tcPr>
          <w:p>
            <w:pPr>
              <w:spacing w:after="0"/>
            </w:pPr>
            <w:r/>
            <w:r>
              <w:rPr>
                <w:b w:val="0"/>
                <w:sz w:val="16"/>
              </w:rPr>
              <w:t>6,223</w:t>
            </w:r>
          </w:p>
        </w:tc>
        <w:tc>
          <w:tcPr>
            <w:tcW w:type="dxa" w:w="2088"/>
            <w:vAlign w:val="center"/>
          </w:tcPr>
          <w:p>
            <w:pPr>
              <w:spacing w:after="0"/>
            </w:pPr>
            <w:r/>
            <w:r>
              <w:rPr>
                <w:b w:val="0"/>
                <w:sz w:val="16"/>
              </w:rPr>
              <w:t>15,314,803</w:t>
            </w:r>
          </w:p>
        </w:tc>
        <w:tc>
          <w:tcPr>
            <w:tcW w:type="dxa" w:w="3456"/>
            <w:vAlign w:val="center"/>
          </w:tcPr>
          <w:p>
            <w:pPr>
              <w:spacing w:after="0"/>
            </w:pPr>
            <w:r/>
            <w:r>
              <w:rPr>
                <w:b w:val="0"/>
                <w:sz w:val="16"/>
              </w:rPr>
              <w:t>Estimated (FY2021 incomplete)</w:t>
            </w:r>
          </w:p>
        </w:tc>
      </w:tr>
      <w:tr>
        <w:trPr>
          <w:cantSplit/>
        </w:trPr>
        <w:tc>
          <w:tcPr>
            <w:tcW w:type="dxa" w:w="792"/>
            <w:vAlign w:val="center"/>
          </w:tcPr>
          <w:p>
            <w:pPr>
              <w:spacing w:after="0"/>
            </w:pPr>
            <w:r/>
            <w:r>
              <w:rPr>
                <w:b w:val="0"/>
                <w:sz w:val="16"/>
              </w:rPr>
              <w:t>2022</w:t>
            </w:r>
          </w:p>
        </w:tc>
        <w:tc>
          <w:tcPr>
            <w:tcW w:type="dxa" w:w="1512"/>
            <w:vAlign w:val="center"/>
          </w:tcPr>
          <w:p>
            <w:pPr>
              <w:spacing w:after="0"/>
            </w:pPr>
            <w:r/>
            <w:r>
              <w:rPr>
                <w:b w:val="0"/>
                <w:sz w:val="16"/>
              </w:rPr>
              <w:t>2,451</w:t>
            </w:r>
          </w:p>
        </w:tc>
        <w:tc>
          <w:tcPr>
            <w:tcW w:type="dxa" w:w="1368"/>
            <w:vAlign w:val="center"/>
          </w:tcPr>
          <w:p>
            <w:pPr>
              <w:spacing w:after="0"/>
            </w:pPr>
            <w:r/>
            <w:r>
              <w:rPr>
                <w:b w:val="0"/>
                <w:sz w:val="16"/>
              </w:rPr>
              <w:t>6,367</w:t>
            </w:r>
          </w:p>
        </w:tc>
        <w:tc>
          <w:tcPr>
            <w:tcW w:type="dxa" w:w="2088"/>
            <w:vAlign w:val="center"/>
          </w:tcPr>
          <w:p>
            <w:pPr>
              <w:spacing w:after="0"/>
            </w:pPr>
            <w:r/>
            <w:r>
              <w:rPr>
                <w:b w:val="0"/>
                <w:sz w:val="16"/>
              </w:rPr>
              <w:t>15,606,961</w:t>
            </w:r>
          </w:p>
        </w:tc>
        <w:tc>
          <w:tcPr>
            <w:tcW w:type="dxa" w:w="3456"/>
            <w:vAlign w:val="center"/>
          </w:tcPr>
          <w:p>
            <w:pPr>
              <w:spacing w:after="0"/>
            </w:pPr>
            <w:r/>
            <w:r>
              <w:rPr>
                <w:b w:val="0"/>
                <w:sz w:val="16"/>
              </w:rPr>
              <w:t>Calibration anchor</w:t>
            </w:r>
          </w:p>
        </w:tc>
      </w:tr>
    </w:tbl>
    <w:p/>
    <w:p>
      <w:pPr>
        <w:spacing w:after="120"/>
      </w:pPr>
      <w:r>
        <w:t>Display note: MPAA values are rounded for readability. Official base estimates should be taken from the Mileage / Estimate column or the source calculation workbook, not recalculated from rounded display values.</w:t>
      </w:r>
    </w:p>
    <w:p>
      <w:pPr>
        <w:pStyle w:val="Heading1"/>
        <w:keepNext/>
        <w:spacing w:before="200" w:after="80"/>
      </w:pPr>
      <w:r>
        <w:t>7. Anchor Validation</w:t>
      </w:r>
    </w:p>
    <w:p>
      <w:pPr>
        <w:spacing w:after="120"/>
      </w:pPr>
      <w:r>
        <w:t>The FY2016-to-FY2022 comparison separates total mileage growth into vehicle-count growth and utilization growth. This confirms that the missing-year estimates account for both fleet population changes and miles driven per active asset.</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040"/>
        <w:gridCol w:w="5040"/>
      </w:tblGrid>
      <w:tr>
        <w:trPr>
          <w:cantSplit/>
          <w:tblHeader w:val="true"/>
        </w:trPr>
        <w:tc>
          <w:tcPr>
            <w:tcW w:type="dxa" w:w="3744"/>
            <w:vAlign w:val="center"/>
            <w:shd w:fill="1F4E79"/>
          </w:tcPr>
          <w:p>
            <w:pPr>
              <w:spacing w:after="0"/>
            </w:pPr>
            <w:r/>
            <w:r>
              <w:rPr>
                <w:b/>
                <w:color w:val="FFFFFF"/>
                <w:sz w:val="18"/>
              </w:rPr>
              <w:t>Metric</w:t>
            </w:r>
          </w:p>
        </w:tc>
        <w:tc>
          <w:tcPr>
            <w:tcW w:type="dxa" w:w="3168"/>
            <w:vAlign w:val="center"/>
            <w:shd w:fill="1F4E79"/>
          </w:tcPr>
          <w:p>
            <w:pPr>
              <w:spacing w:after="0"/>
            </w:pPr>
            <w:r/>
            <w:r>
              <w:rPr>
                <w:b/>
                <w:color w:val="FFFFFF"/>
                <w:sz w:val="18"/>
              </w:rPr>
              <w:t>Value</w:t>
            </w:r>
          </w:p>
        </w:tc>
      </w:tr>
      <w:tr>
        <w:trPr>
          <w:cantSplit/>
        </w:trPr>
        <w:tc>
          <w:tcPr>
            <w:tcW w:type="dxa" w:w="3744"/>
            <w:vAlign w:val="center"/>
          </w:tcPr>
          <w:p>
            <w:pPr>
              <w:spacing w:after="0"/>
            </w:pPr>
            <w:r/>
            <w:r>
              <w:rPr>
                <w:b w:val="0"/>
                <w:sz w:val="18"/>
              </w:rPr>
              <w:t>FY2016 Mileage</w:t>
            </w:r>
          </w:p>
        </w:tc>
        <w:tc>
          <w:tcPr>
            <w:tcW w:type="dxa" w:w="3168"/>
            <w:vAlign w:val="center"/>
          </w:tcPr>
          <w:p>
            <w:pPr>
              <w:spacing w:after="0"/>
            </w:pPr>
            <w:r/>
            <w:r>
              <w:rPr>
                <w:b w:val="0"/>
                <w:sz w:val="18"/>
              </w:rPr>
              <w:t>12,700,000</w:t>
            </w:r>
          </w:p>
        </w:tc>
      </w:tr>
      <w:tr>
        <w:trPr>
          <w:cantSplit/>
        </w:trPr>
        <w:tc>
          <w:tcPr>
            <w:tcW w:type="dxa" w:w="3744"/>
            <w:vAlign w:val="center"/>
          </w:tcPr>
          <w:p>
            <w:pPr>
              <w:spacing w:after="0"/>
            </w:pPr>
            <w:r/>
            <w:r>
              <w:rPr>
                <w:b w:val="0"/>
                <w:sz w:val="18"/>
              </w:rPr>
              <w:t>FY2022 Mileage</w:t>
            </w:r>
          </w:p>
        </w:tc>
        <w:tc>
          <w:tcPr>
            <w:tcW w:type="dxa" w:w="3168"/>
            <w:vAlign w:val="center"/>
          </w:tcPr>
          <w:p>
            <w:pPr>
              <w:spacing w:after="0"/>
            </w:pPr>
            <w:r/>
            <w:r>
              <w:rPr>
                <w:b w:val="0"/>
                <w:sz w:val="18"/>
              </w:rPr>
              <w:t>15,606,961</w:t>
            </w:r>
          </w:p>
        </w:tc>
      </w:tr>
      <w:tr>
        <w:trPr>
          <w:cantSplit/>
        </w:trPr>
        <w:tc>
          <w:tcPr>
            <w:tcW w:type="dxa" w:w="3744"/>
            <w:vAlign w:val="center"/>
          </w:tcPr>
          <w:p>
            <w:pPr>
              <w:spacing w:after="0"/>
            </w:pPr>
            <w:r/>
            <w:r>
              <w:rPr>
                <w:b w:val="0"/>
                <w:sz w:val="18"/>
              </w:rPr>
              <w:t>Total Change</w:t>
            </w:r>
          </w:p>
        </w:tc>
        <w:tc>
          <w:tcPr>
            <w:tcW w:type="dxa" w:w="3168"/>
            <w:vAlign w:val="center"/>
          </w:tcPr>
          <w:p>
            <w:pPr>
              <w:spacing w:after="0"/>
            </w:pPr>
            <w:r/>
            <w:r>
              <w:rPr>
                <w:b w:val="0"/>
                <w:sz w:val="18"/>
              </w:rPr>
              <w:t>2,906,961</w:t>
            </w:r>
          </w:p>
        </w:tc>
      </w:tr>
      <w:tr>
        <w:trPr>
          <w:cantSplit/>
        </w:trPr>
        <w:tc>
          <w:tcPr>
            <w:tcW w:type="dxa" w:w="3744"/>
            <w:vAlign w:val="center"/>
          </w:tcPr>
          <w:p>
            <w:pPr>
              <w:spacing w:after="0"/>
            </w:pPr>
            <w:r/>
            <w:r>
              <w:rPr>
                <w:b w:val="0"/>
                <w:sz w:val="18"/>
              </w:rPr>
              <w:t>Increase (%)</w:t>
            </w:r>
          </w:p>
        </w:tc>
        <w:tc>
          <w:tcPr>
            <w:tcW w:type="dxa" w:w="3168"/>
            <w:vAlign w:val="center"/>
          </w:tcPr>
          <w:p>
            <w:pPr>
              <w:spacing w:after="0"/>
            </w:pPr>
            <w:r/>
            <w:r>
              <w:rPr>
                <w:b w:val="0"/>
                <w:sz w:val="18"/>
              </w:rPr>
              <w:t>22.89%</w:t>
            </w:r>
          </w:p>
        </w:tc>
      </w:tr>
      <w:tr>
        <w:trPr>
          <w:cantSplit/>
        </w:trPr>
        <w:tc>
          <w:tcPr>
            <w:tcW w:type="dxa" w:w="3744"/>
            <w:vAlign w:val="center"/>
          </w:tcPr>
          <w:p>
            <w:pPr>
              <w:spacing w:after="0"/>
            </w:pPr>
            <w:r/>
            <w:r>
              <w:rPr>
                <w:b w:val="0"/>
                <w:sz w:val="18"/>
              </w:rPr>
              <w:t>Vehicle Growth</w:t>
            </w:r>
          </w:p>
        </w:tc>
        <w:tc>
          <w:tcPr>
            <w:tcW w:type="dxa" w:w="3168"/>
            <w:vAlign w:val="center"/>
          </w:tcPr>
          <w:p>
            <w:pPr>
              <w:spacing w:after="0"/>
            </w:pPr>
            <w:r/>
            <w:r>
              <w:rPr>
                <w:b w:val="0"/>
                <w:sz w:val="18"/>
              </w:rPr>
              <w:t>6.15%</w:t>
            </w:r>
          </w:p>
        </w:tc>
      </w:tr>
      <w:tr>
        <w:trPr>
          <w:cantSplit/>
        </w:trPr>
        <w:tc>
          <w:tcPr>
            <w:tcW w:type="dxa" w:w="3744"/>
            <w:vAlign w:val="center"/>
          </w:tcPr>
          <w:p>
            <w:pPr>
              <w:spacing w:after="0"/>
            </w:pPr>
            <w:r/>
            <w:r>
              <w:rPr>
                <w:b w:val="0"/>
                <w:sz w:val="18"/>
              </w:rPr>
              <w:t>Utilization Growth</w:t>
            </w:r>
          </w:p>
        </w:tc>
        <w:tc>
          <w:tcPr>
            <w:tcW w:type="dxa" w:w="3168"/>
            <w:vAlign w:val="center"/>
          </w:tcPr>
          <w:p>
            <w:pPr>
              <w:spacing w:after="0"/>
            </w:pPr>
            <w:r/>
            <w:r>
              <w:rPr>
                <w:b w:val="0"/>
                <w:sz w:val="18"/>
              </w:rPr>
              <w:t>15.78%</w:t>
            </w:r>
          </w:p>
        </w:tc>
      </w:tr>
    </w:tbl>
    <w:p/>
    <w:p>
      <w:pPr>
        <w:pStyle w:val="Heading1"/>
        <w:keepNext/>
        <w:spacing w:before="200" w:after="80"/>
      </w:pPr>
      <w:r>
        <w:t>8. Sensitivity Analysis</w:t>
      </w:r>
    </w:p>
    <w:p>
      <w:pPr>
        <w:spacing w:after="120"/>
      </w:pPr>
      <w:r>
        <w:t>Sensitivity analysis was performed by varying the estimated MPAA by -2.5%, +2.5%, -5%, +5%, -10%, and +10% from the baseline utilization model. The resulting mileage estimates provide a reasonable range of expected values and demonstrate the robustness of the reconstruction methodology.</w:t>
      </w:r>
    </w:p>
    <w:p>
      <w:pPr>
        <w:spacing w:after="120"/>
      </w:pPr>
      <w:r>
        <w:t>The Base Estimate remains the official reported value. Alternative scenarios are retained only for validation, risk assessment, and explanation of assumption sensitivity.</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260"/>
        <w:gridCol w:w="1260"/>
        <w:gridCol w:w="1260"/>
        <w:gridCol w:w="1260"/>
        <w:gridCol w:w="1260"/>
        <w:gridCol w:w="1260"/>
        <w:gridCol w:w="1260"/>
        <w:gridCol w:w="1260"/>
      </w:tblGrid>
      <w:tr>
        <w:trPr>
          <w:cantSplit/>
          <w:tblHeader w:val="true"/>
        </w:trPr>
        <w:tc>
          <w:tcPr>
            <w:tcW w:type="dxa" w:w="792"/>
            <w:vAlign w:val="center"/>
            <w:shd w:fill="1F4E79"/>
          </w:tcPr>
          <w:p>
            <w:pPr>
              <w:spacing w:after="0"/>
            </w:pPr>
            <w:r/>
            <w:r>
              <w:rPr>
                <w:b/>
                <w:color w:val="FFFFFF"/>
                <w:sz w:val="15"/>
              </w:rPr>
              <w:t>FY</w:t>
            </w:r>
          </w:p>
        </w:tc>
        <w:tc>
          <w:tcPr>
            <w:tcW w:type="dxa" w:w="1655"/>
            <w:vAlign w:val="center"/>
            <w:shd w:fill="1F4E79"/>
          </w:tcPr>
          <w:p>
            <w:pPr>
              <w:spacing w:after="0"/>
            </w:pPr>
            <w:r/>
            <w:r>
              <w:rPr>
                <w:b/>
                <w:color w:val="FFFFFF"/>
                <w:sz w:val="15"/>
              </w:rPr>
              <w:t>Base Estimate</w:t>
            </w:r>
          </w:p>
        </w:tc>
        <w:tc>
          <w:tcPr>
            <w:tcW w:type="dxa" w:w="1512"/>
            <w:vAlign w:val="center"/>
            <w:shd w:fill="1F4E79"/>
          </w:tcPr>
          <w:p>
            <w:pPr>
              <w:spacing w:after="0"/>
            </w:pPr>
            <w:r/>
            <w:r>
              <w:rPr>
                <w:b/>
                <w:color w:val="FFFFFF"/>
                <w:sz w:val="15"/>
              </w:rPr>
              <w:t>-2.5%</w:t>
            </w:r>
          </w:p>
        </w:tc>
        <w:tc>
          <w:tcPr>
            <w:tcW w:type="dxa" w:w="1512"/>
            <w:vAlign w:val="center"/>
            <w:shd w:fill="1F4E79"/>
          </w:tcPr>
          <w:p>
            <w:pPr>
              <w:spacing w:after="0"/>
            </w:pPr>
            <w:r/>
            <w:r>
              <w:rPr>
                <w:b/>
                <w:color w:val="FFFFFF"/>
                <w:sz w:val="15"/>
              </w:rPr>
              <w:t>+2.5%</w:t>
            </w:r>
          </w:p>
        </w:tc>
        <w:tc>
          <w:tcPr>
            <w:tcW w:type="dxa" w:w="1512"/>
            <w:vAlign w:val="center"/>
            <w:shd w:fill="1F4E79"/>
          </w:tcPr>
          <w:p>
            <w:pPr>
              <w:spacing w:after="0"/>
            </w:pPr>
            <w:r/>
            <w:r>
              <w:rPr>
                <w:b/>
                <w:color w:val="FFFFFF"/>
                <w:sz w:val="15"/>
              </w:rPr>
              <w:t>-5%</w:t>
            </w:r>
          </w:p>
        </w:tc>
        <w:tc>
          <w:tcPr>
            <w:tcW w:type="dxa" w:w="1512"/>
            <w:vAlign w:val="center"/>
            <w:shd w:fill="1F4E79"/>
          </w:tcPr>
          <w:p>
            <w:pPr>
              <w:spacing w:after="0"/>
            </w:pPr>
            <w:r/>
            <w:r>
              <w:rPr>
                <w:b/>
                <w:color w:val="FFFFFF"/>
                <w:sz w:val="15"/>
              </w:rPr>
              <w:t>+5%</w:t>
            </w:r>
          </w:p>
        </w:tc>
        <w:tc>
          <w:tcPr>
            <w:tcW w:type="dxa" w:w="1512"/>
            <w:vAlign w:val="center"/>
            <w:shd w:fill="1F4E79"/>
          </w:tcPr>
          <w:p>
            <w:pPr>
              <w:spacing w:after="0"/>
            </w:pPr>
            <w:r/>
            <w:r>
              <w:rPr>
                <w:b/>
                <w:color w:val="FFFFFF"/>
                <w:sz w:val="15"/>
              </w:rPr>
              <w:t>-10%</w:t>
            </w:r>
          </w:p>
        </w:tc>
        <w:tc>
          <w:tcPr>
            <w:tcW w:type="dxa" w:w="1512"/>
            <w:vAlign w:val="center"/>
            <w:shd w:fill="1F4E79"/>
          </w:tcPr>
          <w:p>
            <w:pPr>
              <w:spacing w:after="0"/>
            </w:pPr>
            <w:r/>
            <w:r>
              <w:rPr>
                <w:b/>
                <w:color w:val="FFFFFF"/>
                <w:sz w:val="15"/>
              </w:rPr>
              <w:t>+10%</w:t>
            </w:r>
          </w:p>
        </w:tc>
      </w:tr>
      <w:tr>
        <w:trPr>
          <w:cantSplit/>
        </w:trPr>
        <w:tc>
          <w:tcPr>
            <w:tcW w:type="dxa" w:w="792"/>
            <w:vAlign w:val="center"/>
          </w:tcPr>
          <w:p>
            <w:pPr>
              <w:spacing w:after="0"/>
            </w:pPr>
            <w:r/>
            <w:r>
              <w:rPr>
                <w:b w:val="0"/>
                <w:sz w:val="15"/>
              </w:rPr>
              <w:t>2017</w:t>
            </w:r>
          </w:p>
        </w:tc>
        <w:tc>
          <w:tcPr>
            <w:tcW w:type="dxa" w:w="1655"/>
            <w:vAlign w:val="center"/>
          </w:tcPr>
          <w:p>
            <w:pPr>
              <w:spacing w:after="0"/>
            </w:pPr>
            <w:r/>
            <w:r>
              <w:rPr>
                <w:b w:val="0"/>
                <w:sz w:val="15"/>
              </w:rPr>
              <w:t>13,027,660</w:t>
            </w:r>
          </w:p>
        </w:tc>
        <w:tc>
          <w:tcPr>
            <w:tcW w:type="dxa" w:w="1512"/>
            <w:vAlign w:val="center"/>
          </w:tcPr>
          <w:p>
            <w:pPr>
              <w:spacing w:after="0"/>
            </w:pPr>
            <w:r/>
            <w:r>
              <w:rPr>
                <w:b w:val="0"/>
                <w:sz w:val="15"/>
              </w:rPr>
              <w:t>12,701,969</w:t>
            </w:r>
          </w:p>
        </w:tc>
        <w:tc>
          <w:tcPr>
            <w:tcW w:type="dxa" w:w="1512"/>
            <w:vAlign w:val="center"/>
          </w:tcPr>
          <w:p>
            <w:pPr>
              <w:spacing w:after="0"/>
            </w:pPr>
            <w:r/>
            <w:r>
              <w:rPr>
                <w:b w:val="0"/>
                <w:sz w:val="15"/>
              </w:rPr>
              <w:t>13,353,352</w:t>
            </w:r>
          </w:p>
        </w:tc>
        <w:tc>
          <w:tcPr>
            <w:tcW w:type="dxa" w:w="1512"/>
            <w:vAlign w:val="center"/>
          </w:tcPr>
          <w:p>
            <w:pPr>
              <w:spacing w:after="0"/>
            </w:pPr>
            <w:r/>
            <w:r>
              <w:rPr>
                <w:b w:val="0"/>
                <w:sz w:val="15"/>
              </w:rPr>
              <w:t>12,376,277</w:t>
            </w:r>
          </w:p>
        </w:tc>
        <w:tc>
          <w:tcPr>
            <w:tcW w:type="dxa" w:w="1512"/>
            <w:vAlign w:val="center"/>
          </w:tcPr>
          <w:p>
            <w:pPr>
              <w:spacing w:after="0"/>
            </w:pPr>
            <w:r/>
            <w:r>
              <w:rPr>
                <w:b w:val="0"/>
                <w:sz w:val="15"/>
              </w:rPr>
              <w:t>13,679,043</w:t>
            </w:r>
          </w:p>
        </w:tc>
        <w:tc>
          <w:tcPr>
            <w:tcW w:type="dxa" w:w="1512"/>
            <w:vAlign w:val="center"/>
          </w:tcPr>
          <w:p>
            <w:pPr>
              <w:spacing w:after="0"/>
            </w:pPr>
            <w:r/>
            <w:r>
              <w:rPr>
                <w:b w:val="0"/>
                <w:sz w:val="15"/>
              </w:rPr>
              <w:t>11,724,894</w:t>
            </w:r>
          </w:p>
        </w:tc>
        <w:tc>
          <w:tcPr>
            <w:tcW w:type="dxa" w:w="1512"/>
            <w:vAlign w:val="center"/>
          </w:tcPr>
          <w:p>
            <w:pPr>
              <w:spacing w:after="0"/>
            </w:pPr>
            <w:r/>
            <w:r>
              <w:rPr>
                <w:b w:val="0"/>
                <w:sz w:val="15"/>
              </w:rPr>
              <w:t>14,330,426</w:t>
            </w:r>
          </w:p>
        </w:tc>
      </w:tr>
      <w:tr>
        <w:trPr>
          <w:cantSplit/>
        </w:trPr>
        <w:tc>
          <w:tcPr>
            <w:tcW w:type="dxa" w:w="792"/>
            <w:vAlign w:val="center"/>
          </w:tcPr>
          <w:p>
            <w:pPr>
              <w:spacing w:after="0"/>
            </w:pPr>
            <w:r/>
            <w:r>
              <w:rPr>
                <w:b w:val="0"/>
                <w:sz w:val="15"/>
              </w:rPr>
              <w:t>2018</w:t>
            </w:r>
          </w:p>
        </w:tc>
        <w:tc>
          <w:tcPr>
            <w:tcW w:type="dxa" w:w="1655"/>
            <w:vAlign w:val="center"/>
          </w:tcPr>
          <w:p>
            <w:pPr>
              <w:spacing w:after="0"/>
            </w:pPr>
            <w:r/>
            <w:r>
              <w:rPr>
                <w:b w:val="0"/>
                <w:sz w:val="15"/>
              </w:rPr>
              <w:t>13,609,939</w:t>
            </w:r>
          </w:p>
        </w:tc>
        <w:tc>
          <w:tcPr>
            <w:tcW w:type="dxa" w:w="1512"/>
            <w:vAlign w:val="center"/>
          </w:tcPr>
          <w:p>
            <w:pPr>
              <w:spacing w:after="0"/>
            </w:pPr>
            <w:r/>
            <w:r>
              <w:rPr>
                <w:b w:val="0"/>
                <w:sz w:val="15"/>
              </w:rPr>
              <w:t>13,269,691</w:t>
            </w:r>
          </w:p>
        </w:tc>
        <w:tc>
          <w:tcPr>
            <w:tcW w:type="dxa" w:w="1512"/>
            <w:vAlign w:val="center"/>
          </w:tcPr>
          <w:p>
            <w:pPr>
              <w:spacing w:after="0"/>
            </w:pPr>
            <w:r/>
            <w:r>
              <w:rPr>
                <w:b w:val="0"/>
                <w:sz w:val="15"/>
              </w:rPr>
              <w:t>13,950,187</w:t>
            </w:r>
          </w:p>
        </w:tc>
        <w:tc>
          <w:tcPr>
            <w:tcW w:type="dxa" w:w="1512"/>
            <w:vAlign w:val="center"/>
          </w:tcPr>
          <w:p>
            <w:pPr>
              <w:spacing w:after="0"/>
            </w:pPr>
            <w:r/>
            <w:r>
              <w:rPr>
                <w:b w:val="0"/>
                <w:sz w:val="15"/>
              </w:rPr>
              <w:t>12,929,442</w:t>
            </w:r>
          </w:p>
        </w:tc>
        <w:tc>
          <w:tcPr>
            <w:tcW w:type="dxa" w:w="1512"/>
            <w:vAlign w:val="center"/>
          </w:tcPr>
          <w:p>
            <w:pPr>
              <w:spacing w:after="0"/>
            </w:pPr>
            <w:r/>
            <w:r>
              <w:rPr>
                <w:b w:val="0"/>
                <w:sz w:val="15"/>
              </w:rPr>
              <w:t>14,290,436</w:t>
            </w:r>
          </w:p>
        </w:tc>
        <w:tc>
          <w:tcPr>
            <w:tcW w:type="dxa" w:w="1512"/>
            <w:vAlign w:val="center"/>
          </w:tcPr>
          <w:p>
            <w:pPr>
              <w:spacing w:after="0"/>
            </w:pPr>
            <w:r/>
            <w:r>
              <w:rPr>
                <w:b w:val="0"/>
                <w:sz w:val="15"/>
              </w:rPr>
              <w:t>12,248,945</w:t>
            </w:r>
          </w:p>
        </w:tc>
        <w:tc>
          <w:tcPr>
            <w:tcW w:type="dxa" w:w="1512"/>
            <w:vAlign w:val="center"/>
          </w:tcPr>
          <w:p>
            <w:pPr>
              <w:spacing w:after="0"/>
            </w:pPr>
            <w:r/>
            <w:r>
              <w:rPr>
                <w:b w:val="0"/>
                <w:sz w:val="15"/>
              </w:rPr>
              <w:t>14,970,933</w:t>
            </w:r>
          </w:p>
        </w:tc>
      </w:tr>
      <w:tr>
        <w:trPr>
          <w:cantSplit/>
        </w:trPr>
        <w:tc>
          <w:tcPr>
            <w:tcW w:type="dxa" w:w="792"/>
            <w:vAlign w:val="center"/>
          </w:tcPr>
          <w:p>
            <w:pPr>
              <w:spacing w:after="0"/>
            </w:pPr>
            <w:r/>
            <w:r>
              <w:rPr>
                <w:b w:val="0"/>
                <w:sz w:val="15"/>
              </w:rPr>
              <w:t>2019</w:t>
            </w:r>
          </w:p>
        </w:tc>
        <w:tc>
          <w:tcPr>
            <w:tcW w:type="dxa" w:w="1655"/>
            <w:vAlign w:val="center"/>
          </w:tcPr>
          <w:p>
            <w:pPr>
              <w:spacing w:after="0"/>
            </w:pPr>
            <w:r/>
            <w:r>
              <w:rPr>
                <w:b w:val="0"/>
                <w:sz w:val="15"/>
              </w:rPr>
              <w:t>14,130,954</w:t>
            </w:r>
          </w:p>
        </w:tc>
        <w:tc>
          <w:tcPr>
            <w:tcW w:type="dxa" w:w="1512"/>
            <w:vAlign w:val="center"/>
          </w:tcPr>
          <w:p>
            <w:pPr>
              <w:spacing w:after="0"/>
            </w:pPr>
            <w:r/>
            <w:r>
              <w:rPr>
                <w:b w:val="0"/>
                <w:sz w:val="15"/>
              </w:rPr>
              <w:t>13,777,680</w:t>
            </w:r>
          </w:p>
        </w:tc>
        <w:tc>
          <w:tcPr>
            <w:tcW w:type="dxa" w:w="1512"/>
            <w:vAlign w:val="center"/>
          </w:tcPr>
          <w:p>
            <w:pPr>
              <w:spacing w:after="0"/>
            </w:pPr>
            <w:r/>
            <w:r>
              <w:rPr>
                <w:b w:val="0"/>
                <w:sz w:val="15"/>
              </w:rPr>
              <w:t>14,484,228</w:t>
            </w:r>
          </w:p>
        </w:tc>
        <w:tc>
          <w:tcPr>
            <w:tcW w:type="dxa" w:w="1512"/>
            <w:vAlign w:val="center"/>
          </w:tcPr>
          <w:p>
            <w:pPr>
              <w:spacing w:after="0"/>
            </w:pPr>
            <w:r/>
            <w:r>
              <w:rPr>
                <w:b w:val="0"/>
                <w:sz w:val="15"/>
              </w:rPr>
              <w:t>13,424,406</w:t>
            </w:r>
          </w:p>
        </w:tc>
        <w:tc>
          <w:tcPr>
            <w:tcW w:type="dxa" w:w="1512"/>
            <w:vAlign w:val="center"/>
          </w:tcPr>
          <w:p>
            <w:pPr>
              <w:spacing w:after="0"/>
            </w:pPr>
            <w:r/>
            <w:r>
              <w:rPr>
                <w:b w:val="0"/>
                <w:sz w:val="15"/>
              </w:rPr>
              <w:t>14,837,502</w:t>
            </w:r>
          </w:p>
        </w:tc>
        <w:tc>
          <w:tcPr>
            <w:tcW w:type="dxa" w:w="1512"/>
            <w:vAlign w:val="center"/>
          </w:tcPr>
          <w:p>
            <w:pPr>
              <w:spacing w:after="0"/>
            </w:pPr>
            <w:r/>
            <w:r>
              <w:rPr>
                <w:b w:val="0"/>
                <w:sz w:val="15"/>
              </w:rPr>
              <w:t>12,717,859</w:t>
            </w:r>
          </w:p>
        </w:tc>
        <w:tc>
          <w:tcPr>
            <w:tcW w:type="dxa" w:w="1512"/>
            <w:vAlign w:val="center"/>
          </w:tcPr>
          <w:p>
            <w:pPr>
              <w:spacing w:after="0"/>
            </w:pPr>
            <w:r/>
            <w:r>
              <w:rPr>
                <w:b w:val="0"/>
                <w:sz w:val="15"/>
              </w:rPr>
              <w:t>15,544,049</w:t>
            </w:r>
          </w:p>
        </w:tc>
      </w:tr>
      <w:tr>
        <w:trPr>
          <w:cantSplit/>
        </w:trPr>
        <w:tc>
          <w:tcPr>
            <w:tcW w:type="dxa" w:w="792"/>
            <w:vAlign w:val="center"/>
          </w:tcPr>
          <w:p>
            <w:pPr>
              <w:spacing w:after="0"/>
            </w:pPr>
            <w:r/>
            <w:r>
              <w:rPr>
                <w:b w:val="0"/>
                <w:sz w:val="15"/>
              </w:rPr>
              <w:t>2020</w:t>
            </w:r>
          </w:p>
        </w:tc>
        <w:tc>
          <w:tcPr>
            <w:tcW w:type="dxa" w:w="1655"/>
            <w:vAlign w:val="center"/>
          </w:tcPr>
          <w:p>
            <w:pPr>
              <w:spacing w:after="0"/>
            </w:pPr>
            <w:r/>
            <w:r>
              <w:rPr>
                <w:b w:val="0"/>
                <w:sz w:val="15"/>
              </w:rPr>
              <w:t>14,652,258</w:t>
            </w:r>
          </w:p>
        </w:tc>
        <w:tc>
          <w:tcPr>
            <w:tcW w:type="dxa" w:w="1512"/>
            <w:vAlign w:val="center"/>
          </w:tcPr>
          <w:p>
            <w:pPr>
              <w:spacing w:after="0"/>
            </w:pPr>
            <w:r/>
            <w:r>
              <w:rPr>
                <w:b w:val="0"/>
                <w:sz w:val="15"/>
              </w:rPr>
              <w:t>14,285,952</w:t>
            </w:r>
          </w:p>
        </w:tc>
        <w:tc>
          <w:tcPr>
            <w:tcW w:type="dxa" w:w="1512"/>
            <w:vAlign w:val="center"/>
          </w:tcPr>
          <w:p>
            <w:pPr>
              <w:spacing w:after="0"/>
            </w:pPr>
            <w:r/>
            <w:r>
              <w:rPr>
                <w:b w:val="0"/>
                <w:sz w:val="15"/>
              </w:rPr>
              <w:t>15,018,565</w:t>
            </w:r>
          </w:p>
        </w:tc>
        <w:tc>
          <w:tcPr>
            <w:tcW w:type="dxa" w:w="1512"/>
            <w:vAlign w:val="center"/>
          </w:tcPr>
          <w:p>
            <w:pPr>
              <w:spacing w:after="0"/>
            </w:pPr>
            <w:r/>
            <w:r>
              <w:rPr>
                <w:b w:val="0"/>
                <w:sz w:val="15"/>
              </w:rPr>
              <w:t>13,919,645</w:t>
            </w:r>
          </w:p>
        </w:tc>
        <w:tc>
          <w:tcPr>
            <w:tcW w:type="dxa" w:w="1512"/>
            <w:vAlign w:val="center"/>
          </w:tcPr>
          <w:p>
            <w:pPr>
              <w:spacing w:after="0"/>
            </w:pPr>
            <w:r/>
            <w:r>
              <w:rPr>
                <w:b w:val="0"/>
                <w:sz w:val="15"/>
              </w:rPr>
              <w:t>15,384,871</w:t>
            </w:r>
          </w:p>
        </w:tc>
        <w:tc>
          <w:tcPr>
            <w:tcW w:type="dxa" w:w="1512"/>
            <w:vAlign w:val="center"/>
          </w:tcPr>
          <w:p>
            <w:pPr>
              <w:spacing w:after="0"/>
            </w:pPr>
            <w:r/>
            <w:r>
              <w:rPr>
                <w:b w:val="0"/>
                <w:sz w:val="15"/>
              </w:rPr>
              <w:t>13,187,032</w:t>
            </w:r>
          </w:p>
        </w:tc>
        <w:tc>
          <w:tcPr>
            <w:tcW w:type="dxa" w:w="1512"/>
            <w:vAlign w:val="center"/>
          </w:tcPr>
          <w:p>
            <w:pPr>
              <w:spacing w:after="0"/>
            </w:pPr>
            <w:r/>
            <w:r>
              <w:rPr>
                <w:b w:val="0"/>
                <w:sz w:val="15"/>
              </w:rPr>
              <w:t>16,117,484</w:t>
            </w:r>
          </w:p>
        </w:tc>
      </w:tr>
      <w:tr>
        <w:trPr>
          <w:cantSplit/>
        </w:trPr>
        <w:tc>
          <w:tcPr>
            <w:tcW w:type="dxa" w:w="792"/>
            <w:vAlign w:val="center"/>
          </w:tcPr>
          <w:p>
            <w:pPr>
              <w:spacing w:after="0"/>
            </w:pPr>
            <w:r/>
            <w:r>
              <w:rPr>
                <w:b w:val="0"/>
                <w:sz w:val="15"/>
              </w:rPr>
              <w:t>2021</w:t>
            </w:r>
          </w:p>
        </w:tc>
        <w:tc>
          <w:tcPr>
            <w:tcW w:type="dxa" w:w="1655"/>
            <w:vAlign w:val="center"/>
          </w:tcPr>
          <w:p>
            <w:pPr>
              <w:spacing w:after="0"/>
            </w:pPr>
            <w:r/>
            <w:r>
              <w:rPr>
                <w:b w:val="0"/>
                <w:sz w:val="15"/>
              </w:rPr>
              <w:t>15,314,803</w:t>
            </w:r>
          </w:p>
        </w:tc>
        <w:tc>
          <w:tcPr>
            <w:tcW w:type="dxa" w:w="1512"/>
            <w:vAlign w:val="center"/>
          </w:tcPr>
          <w:p>
            <w:pPr>
              <w:spacing w:after="0"/>
            </w:pPr>
            <w:r/>
            <w:r>
              <w:rPr>
                <w:b w:val="0"/>
                <w:sz w:val="15"/>
              </w:rPr>
              <w:t>14,931,933</w:t>
            </w:r>
          </w:p>
        </w:tc>
        <w:tc>
          <w:tcPr>
            <w:tcW w:type="dxa" w:w="1512"/>
            <w:vAlign w:val="center"/>
          </w:tcPr>
          <w:p>
            <w:pPr>
              <w:spacing w:after="0"/>
            </w:pPr>
            <w:r/>
            <w:r>
              <w:rPr>
                <w:b w:val="0"/>
                <w:sz w:val="15"/>
              </w:rPr>
              <w:t>15,697,673</w:t>
            </w:r>
          </w:p>
        </w:tc>
        <w:tc>
          <w:tcPr>
            <w:tcW w:type="dxa" w:w="1512"/>
            <w:vAlign w:val="center"/>
          </w:tcPr>
          <w:p>
            <w:pPr>
              <w:spacing w:after="0"/>
            </w:pPr>
            <w:r/>
            <w:r>
              <w:rPr>
                <w:b w:val="0"/>
                <w:sz w:val="15"/>
              </w:rPr>
              <w:t>14,549,063</w:t>
            </w:r>
          </w:p>
        </w:tc>
        <w:tc>
          <w:tcPr>
            <w:tcW w:type="dxa" w:w="1512"/>
            <w:vAlign w:val="center"/>
          </w:tcPr>
          <w:p>
            <w:pPr>
              <w:spacing w:after="0"/>
            </w:pPr>
            <w:r/>
            <w:r>
              <w:rPr>
                <w:b w:val="0"/>
                <w:sz w:val="15"/>
              </w:rPr>
              <w:t>16,080,543</w:t>
            </w:r>
          </w:p>
        </w:tc>
        <w:tc>
          <w:tcPr>
            <w:tcW w:type="dxa" w:w="1512"/>
            <w:vAlign w:val="center"/>
          </w:tcPr>
          <w:p>
            <w:pPr>
              <w:spacing w:after="0"/>
            </w:pPr>
            <w:r/>
            <w:r>
              <w:rPr>
                <w:b w:val="0"/>
                <w:sz w:val="15"/>
              </w:rPr>
              <w:t>13,783,323</w:t>
            </w:r>
          </w:p>
        </w:tc>
        <w:tc>
          <w:tcPr>
            <w:tcW w:type="dxa" w:w="1512"/>
            <w:vAlign w:val="center"/>
          </w:tcPr>
          <w:p>
            <w:pPr>
              <w:spacing w:after="0"/>
            </w:pPr>
            <w:r/>
            <w:r>
              <w:rPr>
                <w:b w:val="0"/>
                <w:sz w:val="15"/>
              </w:rPr>
              <w:t>16,846,283</w:t>
            </w:r>
          </w:p>
        </w:tc>
      </w:tr>
    </w:tbl>
    <w:p/>
    <w:p>
      <w:pPr>
        <w:pStyle w:val="Heading1"/>
        <w:keepNext/>
        <w:spacing w:before="200" w:after="80"/>
      </w:pPr>
      <w:r>
        <w:t>9. Forward-Looking Calculation Method</w:t>
      </w:r>
    </w:p>
    <w:p>
      <w:pPr>
        <w:spacing w:after="120"/>
      </w:pPr>
      <w:r>
        <w:t>Going forward, the preferred calculation method is to use [dbo].[SRP_AssetMonthlyMeterData] to calculate total fiscal-year mileage from the approved fiscal-year-end meter extract. The corresponding active asset count should use the April 30 point-in-time snapshot for the same fiscal year.</w:t>
      </w:r>
    </w:p>
    <w:p>
      <w:pPr>
        <w:spacing w:after="120"/>
      </w:pPr>
      <w:r>
        <w:t>Using this method, FY2026 mileage was identified as 18,015,975 miles. This value is a current validation point for the mileage trend and should not be described as an active asset count.</w:t>
      </w:r>
    </w:p>
    <w:p>
      <w:pPr>
        <w:spacing w:after="120"/>
      </w:pPr>
      <w:r>
        <w:t>For future reporting, source-calculated mileage should replace estimation wherever complete and validated mileage records are available.</w:t>
      </w:r>
    </w:p>
    <w:p>
      <w:pPr>
        <w:pStyle w:val="Heading1"/>
        <w:keepNext/>
        <w:spacing w:before="200" w:after="80"/>
      </w:pPr>
      <w:r>
        <w:t>10. Governance and Change Management</w:t>
      </w:r>
    </w:p>
    <w:p>
      <w:pPr>
        <w:spacing w:after="120"/>
      </w:pPr>
      <w:r>
        <w:t>Because historical mileage estimates are used for reporting, trend analysis, forecasting, benchmarking, and operational planning, changes to the methodology should be controlled.</w:t>
      </w:r>
    </w:p>
    <w:p>
      <w:pPr>
        <w:spacing w:after="120"/>
      </w:pPr>
      <w:r>
        <w:t>Any future update should document the reason for the change, affected fiscal years, previous calculation logic, new calculation logic, impact on reported mileage, and approval from the Transportation analytics or reporting owner.</w:t>
      </w:r>
    </w:p>
    <w:p>
      <w:pPr>
        <w:pStyle w:val="Heading1"/>
        <w:keepNext/>
        <w:spacing w:before="200" w:after="80"/>
      </w:pPr>
      <w:r>
        <w:t>11. Final Design Decision</w:t>
      </w:r>
    </w:p>
    <w:p>
      <w:pPr>
        <w:spacing w:after="120"/>
      </w:pPr>
      <w:r>
        <w:t>Historical mileage estimates are bounded by known FY2016 and FY2022 mileage anchors and further validated through sensitivity testing. Scenario analysis demonstrates that reasonable changes in utilization assumptions do not materially alter long-term fleet mileage trends.</w:t>
      </w:r>
    </w:p>
    <w:p>
      <w:pPr>
        <w:spacing w:after="120"/>
      </w:pPr>
      <w:r>
        <w:t>Vehicle counts used in all calculations are derived from the approved Active Asset Count PDMP. The approved methodology for reconstructing historical mileage totals shall:</w:t>
      </w:r>
    </w:p>
    <w:p>
      <w:pPr>
        <w:pStyle w:val="ListNumber"/>
        <w:spacing w:after="40"/>
      </w:pPr>
      <w:r>
        <w:t>Use FY2016 mileage as the starting anchor.</w:t>
      </w:r>
    </w:p>
    <w:p>
      <w:pPr>
        <w:pStyle w:val="ListNumber"/>
        <w:spacing w:after="40"/>
      </w:pPr>
      <w:r>
        <w:t>Use FY2022 mileage as the ending calibration anchor.</w:t>
      </w:r>
    </w:p>
    <w:p>
      <w:pPr>
        <w:pStyle w:val="ListNumber"/>
        <w:spacing w:after="40"/>
      </w:pPr>
      <w:r>
        <w:t>Exclude recorded FY2021 mileage because the records are incomplete and not representative of a full fiscal year.</w:t>
      </w:r>
    </w:p>
    <w:p>
      <w:pPr>
        <w:pStyle w:val="ListNumber"/>
        <w:spacing w:after="40"/>
      </w:pPr>
      <w:r>
        <w:t>Use approved historical active asset counts as the fleet population driver.</w:t>
      </w:r>
    </w:p>
    <w:p>
      <w:pPr>
        <w:pStyle w:val="ListNumber"/>
        <w:spacing w:after="40"/>
      </w:pPr>
      <w:r>
        <w:t>Estimate annual vehicle utilization through a linear miles-per-active-asset growth model.</w:t>
      </w:r>
    </w:p>
    <w:p>
      <w:pPr>
        <w:pStyle w:val="ListNumber"/>
        <w:spacing w:after="40"/>
      </w:pPr>
      <w:r>
        <w:t>Calculate annual mileage as Active Asset Count x Estimated MPAA.</w:t>
      </w:r>
    </w:p>
    <w:p>
      <w:pPr>
        <w:pStyle w:val="ListNumber"/>
        <w:spacing w:after="40"/>
      </w:pPr>
      <w:r>
        <w:t>Retain sensitivity scenarios for validation and risk assessment only; do not use them as official reported values.</w:t>
      </w:r>
    </w:p>
    <w:p>
      <w:pPr>
        <w:spacing w:after="120"/>
      </w:pPr>
      <w:r>
        <w:t>This methodology provides a transparent, repeatable, and auditable process that aligns with the approved Active Asset Count reconstruction model and preserves consistency across Transportation historical reporting.</w:t>
      </w:r>
    </w:p>
    <w:p>
      <w:r>
        <w:br w:type="page"/>
      </w:r>
    </w:p>
    <w:p>
      <w:pPr>
        <w:pStyle w:val="Heading1"/>
        <w:keepNext/>
        <w:spacing w:before="200" w:after="80"/>
      </w:pPr>
      <w:r>
        <w:t>Appendix A: SQL Script</w:t>
      </w:r>
    </w:p>
    <w:p>
      <w:pPr>
        <w:spacing w:after="120"/>
      </w:pPr>
      <w:r>
        <w:t>This script summarizes fiscal-year mileage for years where source records are complete and validated:</w:t>
      </w:r>
    </w:p>
    <w:p>
      <w:pPr>
        <w:pStyle w:val="CodeBlock"/>
        <w:spacing w:after="120"/>
      </w:pPr>
      <w:r>
        <w:t>SELECT</w:t>
        <w:br/>
        <w:t xml:space="preserve">    FY,</w:t>
        <w:br/>
        <w:t xml:space="preserve">    SUM(MonthlyReading) AS Total_Monthly_Reading</w:t>
        <w:br/>
        <w:t>FROM [FasterWeb].[dbo].[SRP_AssetMonthlyMeterData]</w:t>
        <w:br/>
        <w:t>GROUP BY FY</w:t>
        <w:br/>
        <w:t>ORDER BY FY;</w:t>
      </w:r>
    </w:p>
    <w:p>
      <w:pPr>
        <w:pStyle w:val="Heading1"/>
        <w:keepNext/>
        <w:spacing w:before="200" w:after="80"/>
      </w:pPr>
      <w:r>
        <w:t>Appendix B: Formula Definitions</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5040"/>
        <w:gridCol w:w="5040"/>
      </w:tblGrid>
      <w:tr>
        <w:trPr>
          <w:cantSplit/>
          <w:tblHeader w:val="true"/>
        </w:trPr>
        <w:tc>
          <w:tcPr>
            <w:tcW w:type="dxa" w:w="4752"/>
            <w:vAlign w:val="center"/>
            <w:shd w:fill="1F4E79"/>
          </w:tcPr>
          <w:p>
            <w:pPr>
              <w:spacing w:after="0"/>
            </w:pPr>
            <w:r/>
            <w:r>
              <w:rPr>
                <w:b/>
                <w:color w:val="FFFFFF"/>
                <w:sz w:val="16"/>
              </w:rPr>
              <w:t>Formula</w:t>
            </w:r>
          </w:p>
        </w:tc>
        <w:tc>
          <w:tcPr>
            <w:tcW w:type="dxa" w:w="5472"/>
            <w:vAlign w:val="center"/>
            <w:shd w:fill="1F4E79"/>
          </w:tcPr>
          <w:p>
            <w:pPr>
              <w:spacing w:after="0"/>
            </w:pPr>
            <w:r/>
            <w:r>
              <w:rPr>
                <w:b/>
                <w:color w:val="FFFFFF"/>
                <w:sz w:val="16"/>
              </w:rPr>
              <w:t>Definition</w:t>
            </w:r>
          </w:p>
        </w:tc>
      </w:tr>
      <w:tr>
        <w:trPr>
          <w:cantSplit/>
        </w:trPr>
        <w:tc>
          <w:tcPr>
            <w:tcW w:type="dxa" w:w="4752"/>
            <w:vAlign w:val="center"/>
          </w:tcPr>
          <w:p>
            <w:pPr>
              <w:spacing w:after="0"/>
            </w:pPr>
            <w:r/>
            <w:r>
              <w:rPr>
                <w:b w:val="0"/>
                <w:sz w:val="16"/>
              </w:rPr>
              <w:t>MPAA = Annual Mileage / Active Asset Count</w:t>
            </w:r>
          </w:p>
        </w:tc>
        <w:tc>
          <w:tcPr>
            <w:tcW w:type="dxa" w:w="5472"/>
            <w:vAlign w:val="center"/>
          </w:tcPr>
          <w:p>
            <w:pPr>
              <w:spacing w:after="0"/>
            </w:pPr>
            <w:r/>
            <w:r>
              <w:rPr>
                <w:b w:val="0"/>
                <w:sz w:val="16"/>
              </w:rPr>
              <w:t>Calculates miles per active asset for an observed fiscal year.</w:t>
            </w:r>
          </w:p>
        </w:tc>
      </w:tr>
      <w:tr>
        <w:trPr>
          <w:cantSplit/>
        </w:trPr>
        <w:tc>
          <w:tcPr>
            <w:tcW w:type="dxa" w:w="4752"/>
            <w:vAlign w:val="center"/>
          </w:tcPr>
          <w:p>
            <w:pPr>
              <w:spacing w:after="0"/>
            </w:pPr>
            <w:r/>
            <w:r>
              <w:rPr>
                <w:b w:val="0"/>
                <w:sz w:val="16"/>
              </w:rPr>
              <w:t>Estimated MPAA_y = MPAA_2016 + ((MPAA_2022 - MPAA_2016) / 6) x (FY - 2016)</w:t>
            </w:r>
          </w:p>
        </w:tc>
        <w:tc>
          <w:tcPr>
            <w:tcW w:type="dxa" w:w="5472"/>
            <w:vAlign w:val="center"/>
          </w:tcPr>
          <w:p>
            <w:pPr>
              <w:spacing w:after="0"/>
            </w:pPr>
            <w:r/>
            <w:r>
              <w:rPr>
                <w:b w:val="0"/>
                <w:sz w:val="16"/>
              </w:rPr>
              <w:t>Interpolates annual utilization between the FY2016 and FY2022 anchors.</w:t>
            </w:r>
          </w:p>
        </w:tc>
      </w:tr>
      <w:tr>
        <w:trPr>
          <w:cantSplit/>
        </w:trPr>
        <w:tc>
          <w:tcPr>
            <w:tcW w:type="dxa" w:w="4752"/>
            <w:vAlign w:val="center"/>
          </w:tcPr>
          <w:p>
            <w:pPr>
              <w:spacing w:after="0"/>
            </w:pPr>
            <w:r/>
            <w:r>
              <w:rPr>
                <w:b w:val="0"/>
                <w:sz w:val="16"/>
              </w:rPr>
              <w:t>Estimated Mileage_y = Active Asset Count_y x Estimated MPAA_y</w:t>
            </w:r>
          </w:p>
        </w:tc>
        <w:tc>
          <w:tcPr>
            <w:tcW w:type="dxa" w:w="5472"/>
            <w:vAlign w:val="center"/>
          </w:tcPr>
          <w:p>
            <w:pPr>
              <w:spacing w:after="0"/>
            </w:pPr>
            <w:r/>
            <w:r>
              <w:rPr>
                <w:b w:val="0"/>
                <w:sz w:val="16"/>
              </w:rPr>
              <w:t>Calculates the official base mileage estimate for each missing fiscal year.</w:t>
            </w:r>
          </w:p>
        </w:tc>
      </w:tr>
      <w:tr>
        <w:trPr>
          <w:cantSplit/>
        </w:trPr>
        <w:tc>
          <w:tcPr>
            <w:tcW w:type="dxa" w:w="4752"/>
            <w:vAlign w:val="center"/>
          </w:tcPr>
          <w:p>
            <w:pPr>
              <w:spacing w:after="0"/>
            </w:pPr>
            <w:r/>
            <w:r>
              <w:rPr>
                <w:b w:val="0"/>
                <w:sz w:val="16"/>
              </w:rPr>
              <w:t>Sensitivity Scenario_y = Baseline Estimated Mileage_y x (1 + Scenario %)</w:t>
            </w:r>
          </w:p>
        </w:tc>
        <w:tc>
          <w:tcPr>
            <w:tcW w:type="dxa" w:w="5472"/>
            <w:vAlign w:val="center"/>
          </w:tcPr>
          <w:p>
            <w:pPr>
              <w:spacing w:after="0"/>
            </w:pPr>
            <w:r/>
            <w:r>
              <w:rPr>
                <w:b w:val="0"/>
                <w:sz w:val="16"/>
              </w:rPr>
              <w:t>Calculates validation-only sensitivity ranges.</w:t>
            </w:r>
          </w:p>
        </w:tc>
      </w:tr>
    </w:tbl>
    <w:p/>
    <w:p>
      <w:pPr>
        <w:pStyle w:val="Heading1"/>
        <w:keepNext/>
        <w:spacing w:before="200" w:after="80"/>
      </w:pPr>
      <w:r>
        <w:t>Appendix C: Update Log</w:t>
      </w:r>
    </w:p>
    <w:tbl>
      <w:tblPr>
        <w:tblStyle w:val="TableGrid"/>
        <w:tblW w:type="auto" w:w="0"/>
        <w:jc w:val="center"/>
        <w:tblLayout w:type="autofit"/>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520"/>
        <w:gridCol w:w="2520"/>
        <w:gridCol w:w="2520"/>
        <w:gridCol w:w="2520"/>
      </w:tblGrid>
      <w:tr>
        <w:trPr>
          <w:cantSplit/>
          <w:tblHeader w:val="true"/>
        </w:trPr>
        <w:tc>
          <w:tcPr>
            <w:tcW w:type="dxa" w:w="1152"/>
            <w:vAlign w:val="center"/>
            <w:shd w:fill="1F4E79"/>
          </w:tcPr>
          <w:p>
            <w:pPr>
              <w:spacing w:after="0"/>
            </w:pPr>
            <w:r/>
            <w:r>
              <w:rPr>
                <w:b/>
                <w:color w:val="FFFFFF"/>
                <w:sz w:val="16"/>
              </w:rPr>
              <w:t>Version</w:t>
            </w:r>
          </w:p>
        </w:tc>
        <w:tc>
          <w:tcPr>
            <w:tcW w:type="dxa" w:w="1440"/>
            <w:vAlign w:val="center"/>
            <w:shd w:fill="1F4E79"/>
          </w:tcPr>
          <w:p>
            <w:pPr>
              <w:spacing w:after="0"/>
            </w:pPr>
            <w:r/>
            <w:r>
              <w:rPr>
                <w:b/>
                <w:color w:val="FFFFFF"/>
                <w:sz w:val="16"/>
              </w:rPr>
              <w:t>Date</w:t>
            </w:r>
          </w:p>
        </w:tc>
        <w:tc>
          <w:tcPr>
            <w:tcW w:type="dxa" w:w="2015"/>
            <w:vAlign w:val="center"/>
            <w:shd w:fill="1F4E79"/>
          </w:tcPr>
          <w:p>
            <w:pPr>
              <w:spacing w:after="0"/>
            </w:pPr>
            <w:r/>
            <w:r>
              <w:rPr>
                <w:b/>
                <w:color w:val="FFFFFF"/>
                <w:sz w:val="16"/>
              </w:rPr>
              <w:t>Updated By</w:t>
            </w:r>
          </w:p>
        </w:tc>
        <w:tc>
          <w:tcPr>
            <w:tcW w:type="dxa" w:w="5760"/>
            <w:vAlign w:val="center"/>
            <w:shd w:fill="1F4E79"/>
          </w:tcPr>
          <w:p>
            <w:pPr>
              <w:spacing w:after="0"/>
            </w:pPr>
            <w:r/>
            <w:r>
              <w:rPr>
                <w:b/>
                <w:color w:val="FFFFFF"/>
                <w:sz w:val="16"/>
              </w:rPr>
              <w:t>Change Description</w:t>
            </w:r>
          </w:p>
        </w:tc>
      </w:tr>
      <w:tr>
        <w:trPr>
          <w:cantSplit/>
        </w:trPr>
        <w:tc>
          <w:tcPr>
            <w:tcW w:type="dxa" w:w="1152"/>
            <w:vAlign w:val="center"/>
          </w:tcPr>
          <w:p>
            <w:pPr>
              <w:spacing w:after="0"/>
            </w:pPr>
            <w:r/>
            <w:r>
              <w:rPr>
                <w:b w:val="0"/>
                <w:sz w:val="16"/>
              </w:rPr>
              <w:t>1.0</w:t>
            </w:r>
          </w:p>
        </w:tc>
        <w:tc>
          <w:tcPr>
            <w:tcW w:type="dxa" w:w="1440"/>
            <w:vAlign w:val="center"/>
          </w:tcPr>
          <w:p>
            <w:pPr>
              <w:spacing w:after="0"/>
            </w:pPr>
            <w:r/>
            <w:r>
              <w:rPr>
                <w:b w:val="0"/>
                <w:sz w:val="16"/>
              </w:rPr>
              <w:t>6/23/2026</w:t>
            </w:r>
          </w:p>
        </w:tc>
        <w:tc>
          <w:tcPr>
            <w:tcW w:type="dxa" w:w="2015"/>
            <w:vAlign w:val="center"/>
          </w:tcPr>
          <w:p>
            <w:pPr>
              <w:spacing w:after="0"/>
            </w:pPr>
            <w:r/>
            <w:r>
              <w:rPr>
                <w:b w:val="0"/>
                <w:sz w:val="16"/>
              </w:rPr>
              <w:t>James Howard</w:t>
            </w:r>
          </w:p>
        </w:tc>
        <w:tc>
          <w:tcPr>
            <w:tcW w:type="dxa" w:w="5760"/>
            <w:vAlign w:val="center"/>
          </w:tcPr>
          <w:p>
            <w:pPr>
              <w:spacing w:after="0"/>
            </w:pPr>
            <w:r/>
            <w:r>
              <w:rPr>
                <w:b w:val="0"/>
                <w:sz w:val="16"/>
              </w:rPr>
              <w:t>Initial methodology creation.</w:t>
            </w:r>
          </w:p>
        </w:tc>
      </w:tr>
      <w:tr>
        <w:trPr>
          <w:cantSplit/>
        </w:trPr>
        <w:tc>
          <w:tcPr>
            <w:tcW w:type="dxa" w:w="1152"/>
            <w:vAlign w:val="center"/>
          </w:tcPr>
          <w:p>
            <w:pPr>
              <w:spacing w:after="0"/>
            </w:pPr>
            <w:r/>
            <w:r>
              <w:rPr>
                <w:b w:val="0"/>
                <w:sz w:val="16"/>
              </w:rPr>
              <w:t>1.1</w:t>
            </w:r>
          </w:p>
        </w:tc>
        <w:tc>
          <w:tcPr>
            <w:tcW w:type="dxa" w:w="1440"/>
            <w:vAlign w:val="center"/>
          </w:tcPr>
          <w:p>
            <w:pPr>
              <w:spacing w:after="0"/>
            </w:pPr>
            <w:r/>
            <w:r>
              <w:rPr>
                <w:b w:val="0"/>
                <w:sz w:val="16"/>
              </w:rPr>
              <w:t>7/8/2026</w:t>
            </w:r>
          </w:p>
        </w:tc>
        <w:tc>
          <w:tcPr>
            <w:tcW w:type="dxa" w:w="2015"/>
            <w:vAlign w:val="center"/>
          </w:tcPr>
          <w:p>
            <w:pPr>
              <w:spacing w:after="0"/>
            </w:pPr>
            <w:r/>
            <w:r>
              <w:rPr>
                <w:b w:val="0"/>
                <w:sz w:val="16"/>
              </w:rPr>
              <w:t>Process review</w:t>
            </w:r>
          </w:p>
        </w:tc>
        <w:tc>
          <w:tcPr>
            <w:tcW w:type="dxa" w:w="5760"/>
            <w:vAlign w:val="center"/>
          </w:tcPr>
          <w:p>
            <w:pPr>
              <w:spacing w:after="0"/>
            </w:pPr>
            <w:r/>
            <w:r>
              <w:rPr>
                <w:b w:val="0"/>
                <w:sz w:val="16"/>
              </w:rPr>
              <w:t>Corrected section numbering, standardized MPAA terminology, clarified FY2021 exclusion, corrected FY2026 mileage wording, replaced dangling formula bullet with written formulas, and added governance/change-management language.</w:t>
            </w:r>
          </w:p>
        </w:tc>
      </w:tr>
    </w:tbl>
    <w:p/>
    <w:sectPr w:rsidR="00FC693F" w:rsidRPr="0006063C" w:rsidSect="00034616">
      <w:headerReference w:type="default" r:id="rId9"/>
      <w:footerReference w:type="default" r:id="rId10"/>
      <w:pgSz w:w="12240" w:h="15840"/>
      <w:pgMar w:top="936" w:right="1080" w:bottom="936" w:left="1080"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after="0"/>
      <w:jc w:val="center"/>
    </w:pPr>
    <w:r>
      <w:rPr>
        <w:color w:val="6E6E6E"/>
        <w:sz w:val="18"/>
      </w:rPr>
      <w:t>Confidential working document | Prepared for process standardization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color w:val="646464"/>
        <w:sz w:val="18"/>
      </w:rPr>
      <w:t>Transportation Analytics | Historical Fleet Mileage Process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20"/>
    </w:pPr>
    <w:rPr>
      <w:rFonts w:ascii="Liberation Sans" w:hAnsi="Liberation Sans" w:eastAsia="Liberation San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eastAsia="Liberation Sans"/>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eastAsia="Liberation Sans"/>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Liberation Sans" w:hAnsi="Liberation Sans" w:eastAsia="Liberation Sans"/>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4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