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eastAsia="Arial"/>
          <w:sz w:val="44"/>
        </w:rPr>
        <w:t>RiskDesk Version 4 vs Version 3.5: All 15 Strategy Historical Record</w:t>
      </w:r>
    </w:p>
    <w:p>
      <w:r>
        <w:t>Prepared for paper documentation and live dashboard validation. Data source: embedded RiskDesk historical backtests and Netlify daily forward-prediction ledger design.</w:t>
      </w:r>
    </w:p>
    <w:p>
      <w:pPr>
        <w:pStyle w:val="Heading1"/>
      </w:pPr>
      <w:r>
        <w:t>Executive Summary</w:t>
      </w:r>
    </w:p>
    <w:p>
      <w:r>
        <w:t>This record confirms that Version 4 is represented as an independent historical walk-forward backtest for all 15 research strategies: 3 core models plus 12 custom strategies. It should not be interpreted as a visual adjustment of Version 3.5.</w:t>
      </w:r>
    </w:p>
    <w:p>
      <w:r>
        <w:t>The daily prediction system is designed to create one-trading-day forecasts for both Version 3.5 and Version 4, store the rows in Netlify Blobs, and later validate due rows against actual market prices. The feedback fields are actual price, actual return, hit/miss status, and absolute error.</w:t>
      </w:r>
    </w:p>
    <w:p>
      <w:pPr>
        <w:pStyle w:val="Heading1"/>
      </w:pPr>
      <w:r>
        <w:t>Data Coverage</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Pr>
          <w:p>
            <w:r>
              <w:rPr>
                <w:rFonts w:ascii="Arial" w:hAnsi="Arial" w:eastAsia="Arial"/>
                <w:sz w:val="16"/>
              </w:rPr>
              <w:t>Version</w:t>
            </w:r>
          </w:p>
        </w:tc>
        <w:tc>
          <w:tcPr>
            <w:tcW w:type="dxa" w:w="2340"/>
            <w:vAlign w:val="center"/>
          </w:tcPr>
          <w:p>
            <w:r>
              <w:rPr>
                <w:rFonts w:ascii="Arial" w:hAnsi="Arial" w:eastAsia="Arial"/>
                <w:sz w:val="16"/>
              </w:rPr>
              <w:t>Models Included</w:t>
            </w:r>
          </w:p>
        </w:tc>
        <w:tc>
          <w:tcPr>
            <w:tcW w:type="dxa" w:w="2340"/>
            <w:vAlign w:val="center"/>
          </w:tcPr>
          <w:p>
            <w:r>
              <w:rPr>
                <w:rFonts w:ascii="Arial" w:hAnsi="Arial" w:eastAsia="Arial"/>
                <w:sz w:val="16"/>
              </w:rPr>
              <w:t>Backtest Source</w:t>
            </w:r>
          </w:p>
        </w:tc>
        <w:tc>
          <w:tcPr>
            <w:tcW w:type="dxa" w:w="2340"/>
            <w:vAlign w:val="center"/>
          </w:tcPr>
          <w:p>
            <w:r>
              <w:rPr>
                <w:rFonts w:ascii="Arial" w:hAnsi="Arial" w:eastAsia="Arial"/>
                <w:sz w:val="16"/>
              </w:rPr>
              <w:t>Forward Feedback Source</w:t>
            </w:r>
          </w:p>
        </w:tc>
      </w:tr>
      <w:tr>
        <w:tc>
          <w:tcPr>
            <w:tcW w:type="dxa" w:w="2340"/>
            <w:vAlign w:val="center"/>
          </w:tcPr>
          <w:p>
            <w:r>
              <w:rPr>
                <w:rFonts w:ascii="Arial" w:hAnsi="Arial" w:eastAsia="Arial"/>
                <w:sz w:val="16"/>
              </w:rPr>
              <w:t>Version 3.5 Baseline</w:t>
            </w:r>
          </w:p>
        </w:tc>
        <w:tc>
          <w:tcPr>
            <w:tcW w:type="dxa" w:w="2340"/>
            <w:vAlign w:val="center"/>
          </w:tcPr>
          <w:p>
            <w:r>
              <w:rPr>
                <w:rFonts w:ascii="Arial" w:hAnsi="Arial" w:eastAsia="Arial"/>
                <w:sz w:val="16"/>
              </w:rPr>
              <w:t>15 strategies</w:t>
            </w:r>
          </w:p>
        </w:tc>
        <w:tc>
          <w:tcPr>
            <w:tcW w:type="dxa" w:w="2340"/>
            <w:vAlign w:val="center"/>
          </w:tcPr>
          <w:p>
            <w:r>
              <w:rPr>
                <w:rFonts w:ascii="Arial" w:hAnsi="Arial" w:eastAsia="Arial"/>
                <w:sz w:val="16"/>
              </w:rPr>
              <w:t>Embedded historical walk-forward curves</w:t>
            </w:r>
          </w:p>
        </w:tc>
        <w:tc>
          <w:tcPr>
            <w:tcW w:type="dxa" w:w="2340"/>
            <w:vAlign w:val="center"/>
          </w:tcPr>
          <w:p>
            <w:r>
              <w:rPr>
                <w:rFonts w:ascii="Arial" w:hAnsi="Arial" w:eastAsia="Arial"/>
                <w:sz w:val="16"/>
              </w:rPr>
              <w:t>Daily ledger validated against actual prices</w:t>
            </w:r>
          </w:p>
        </w:tc>
      </w:tr>
      <w:tr>
        <w:tc>
          <w:tcPr>
            <w:tcW w:type="dxa" w:w="2340"/>
            <w:vAlign w:val="center"/>
          </w:tcPr>
          <w:p>
            <w:r>
              <w:rPr>
                <w:rFonts w:ascii="Arial" w:hAnsi="Arial" w:eastAsia="Arial"/>
                <w:sz w:val="16"/>
              </w:rPr>
              <w:t>Version 4 Market-Adaptive</w:t>
            </w:r>
          </w:p>
        </w:tc>
        <w:tc>
          <w:tcPr>
            <w:tcW w:type="dxa" w:w="2340"/>
            <w:vAlign w:val="center"/>
          </w:tcPr>
          <w:p>
            <w:r>
              <w:rPr>
                <w:rFonts w:ascii="Arial" w:hAnsi="Arial" w:eastAsia="Arial"/>
                <w:sz w:val="16"/>
              </w:rPr>
              <w:t>15 strategies</w:t>
            </w:r>
          </w:p>
        </w:tc>
        <w:tc>
          <w:tcPr>
            <w:tcW w:type="dxa" w:w="2340"/>
            <w:vAlign w:val="center"/>
          </w:tcPr>
          <w:p>
            <w:r>
              <w:rPr>
                <w:rFonts w:ascii="Arial" w:hAnsi="Arial" w:eastAsia="Arial"/>
                <w:sz w:val="16"/>
              </w:rPr>
              <w:t>Independent historical walk-forward curves</w:t>
            </w:r>
          </w:p>
        </w:tc>
        <w:tc>
          <w:tcPr>
            <w:tcW w:type="dxa" w:w="2340"/>
            <w:vAlign w:val="center"/>
          </w:tcPr>
          <w:p>
            <w:r>
              <w:rPr>
                <w:rFonts w:ascii="Arial" w:hAnsi="Arial" w:eastAsia="Arial"/>
                <w:sz w:val="16"/>
              </w:rPr>
              <w:t>Daily ledger validated against actual prices</w:t>
            </w:r>
          </w:p>
        </w:tc>
      </w:tr>
    </w:tbl>
    <w:p>
      <w:pPr>
        <w:pStyle w:val="Heading1"/>
      </w:pPr>
      <w:r>
        <w:t>All 15 Strategy Metrics</w:t>
      </w:r>
    </w:p>
    <w:p>
      <w:r>
        <w:t>The table lists every strategy, not only the top strategies. CAGR, volatility, drawdown, and Sharpe are calculated from each version's own historical return curve.</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tcPr>
          <w:p>
            <w:r>
              <w:rPr>
                <w:rFonts w:ascii="Arial" w:hAnsi="Arial" w:eastAsia="Arial"/>
                <w:sz w:val="16"/>
              </w:rPr>
              <w:t>Strategy</w:t>
            </w:r>
          </w:p>
        </w:tc>
        <w:tc>
          <w:tcPr>
            <w:tcW w:type="dxa" w:w="1170"/>
            <w:vAlign w:val="center"/>
          </w:tcPr>
          <w:p>
            <w:r>
              <w:rPr>
                <w:rFonts w:ascii="Arial" w:hAnsi="Arial" w:eastAsia="Arial"/>
                <w:sz w:val="16"/>
              </w:rPr>
              <w:t>V3.5 Sharpe</w:t>
            </w:r>
          </w:p>
        </w:tc>
        <w:tc>
          <w:tcPr>
            <w:tcW w:type="dxa" w:w="1170"/>
            <w:vAlign w:val="center"/>
          </w:tcPr>
          <w:p>
            <w:r>
              <w:rPr>
                <w:rFonts w:ascii="Arial" w:hAnsi="Arial" w:eastAsia="Arial"/>
                <w:sz w:val="16"/>
              </w:rPr>
              <w:t>V4 Sharpe</w:t>
            </w:r>
          </w:p>
        </w:tc>
        <w:tc>
          <w:tcPr>
            <w:tcW w:type="dxa" w:w="1170"/>
            <w:vAlign w:val="center"/>
          </w:tcPr>
          <w:p>
            <w:r>
              <w:rPr>
                <w:rFonts w:ascii="Arial" w:hAnsi="Arial" w:eastAsia="Arial"/>
                <w:sz w:val="16"/>
              </w:rPr>
              <w:t>Delta</w:t>
            </w:r>
          </w:p>
        </w:tc>
        <w:tc>
          <w:tcPr>
            <w:tcW w:type="dxa" w:w="1170"/>
            <w:vAlign w:val="center"/>
          </w:tcPr>
          <w:p>
            <w:r>
              <w:rPr>
                <w:rFonts w:ascii="Arial" w:hAnsi="Arial" w:eastAsia="Arial"/>
                <w:sz w:val="16"/>
              </w:rPr>
              <w:t>V4 CAGR</w:t>
            </w:r>
          </w:p>
        </w:tc>
        <w:tc>
          <w:tcPr>
            <w:tcW w:type="dxa" w:w="1170"/>
            <w:vAlign w:val="center"/>
          </w:tcPr>
          <w:p>
            <w:r>
              <w:rPr>
                <w:rFonts w:ascii="Arial" w:hAnsi="Arial" w:eastAsia="Arial"/>
                <w:sz w:val="16"/>
              </w:rPr>
              <w:t>V4 Vol</w:t>
            </w:r>
          </w:p>
        </w:tc>
        <w:tc>
          <w:tcPr>
            <w:tcW w:type="dxa" w:w="1170"/>
            <w:vAlign w:val="center"/>
          </w:tcPr>
          <w:p>
            <w:r>
              <w:rPr>
                <w:rFonts w:ascii="Arial" w:hAnsi="Arial" w:eastAsia="Arial"/>
                <w:sz w:val="16"/>
              </w:rPr>
              <w:t>V4 Max DD</w:t>
            </w:r>
          </w:p>
        </w:tc>
        <w:tc>
          <w:tcPr>
            <w:tcW w:type="dxa" w:w="1170"/>
            <w:vAlign w:val="center"/>
          </w:tcPr>
          <w:p>
            <w:r>
              <w:rPr>
                <w:rFonts w:ascii="Arial" w:hAnsi="Arial" w:eastAsia="Arial"/>
                <w:sz w:val="16"/>
              </w:rPr>
              <w:t>V4 Turnover</w:t>
            </w:r>
          </w:p>
        </w:tc>
      </w:tr>
      <w:tr>
        <w:tc>
          <w:tcPr>
            <w:tcW w:type="dxa" w:w="1170"/>
            <w:vAlign w:val="center"/>
          </w:tcPr>
          <w:p>
            <w:r>
              <w:rPr>
                <w:rFonts w:ascii="Arial" w:hAnsi="Arial" w:eastAsia="Arial"/>
                <w:sz w:val="16"/>
              </w:rPr>
              <w:t>V3 Boosted Trees + Attribution</w:t>
            </w:r>
          </w:p>
        </w:tc>
        <w:tc>
          <w:tcPr>
            <w:tcW w:type="dxa" w:w="1170"/>
            <w:vAlign w:val="center"/>
          </w:tcPr>
          <w:p>
            <w:r>
              <w:rPr>
                <w:rFonts w:ascii="Arial" w:hAnsi="Arial" w:eastAsia="Arial"/>
                <w:sz w:val="16"/>
              </w:rPr>
              <w:t>1.14</w:t>
            </w:r>
          </w:p>
        </w:tc>
        <w:tc>
          <w:tcPr>
            <w:tcW w:type="dxa" w:w="1170"/>
            <w:vAlign w:val="center"/>
          </w:tcPr>
          <w:p>
            <w:r>
              <w:rPr>
                <w:rFonts w:ascii="Arial" w:hAnsi="Arial" w:eastAsia="Arial"/>
                <w:sz w:val="16"/>
              </w:rPr>
              <w:t>1.49</w:t>
            </w:r>
          </w:p>
        </w:tc>
        <w:tc>
          <w:tcPr>
            <w:tcW w:type="dxa" w:w="1170"/>
            <w:vAlign w:val="center"/>
          </w:tcPr>
          <w:p>
            <w:r>
              <w:rPr>
                <w:rFonts w:ascii="Arial" w:hAnsi="Arial" w:eastAsia="Arial"/>
                <w:sz w:val="16"/>
              </w:rPr>
              <w:t>0.35</w:t>
            </w:r>
          </w:p>
        </w:tc>
        <w:tc>
          <w:tcPr>
            <w:tcW w:type="dxa" w:w="1170"/>
            <w:vAlign w:val="center"/>
          </w:tcPr>
          <w:p>
            <w:r>
              <w:rPr>
                <w:rFonts w:ascii="Arial" w:hAnsi="Arial" w:eastAsia="Arial"/>
                <w:sz w:val="16"/>
              </w:rPr>
              <w:t>22.3%</w:t>
            </w:r>
          </w:p>
        </w:tc>
        <w:tc>
          <w:tcPr>
            <w:tcW w:type="dxa" w:w="1170"/>
            <w:vAlign w:val="center"/>
          </w:tcPr>
          <w:p>
            <w:r>
              <w:rPr>
                <w:rFonts w:ascii="Arial" w:hAnsi="Arial" w:eastAsia="Arial"/>
                <w:sz w:val="16"/>
              </w:rPr>
              <w:t>14.9%</w:t>
            </w:r>
          </w:p>
        </w:tc>
        <w:tc>
          <w:tcPr>
            <w:tcW w:type="dxa" w:w="1170"/>
            <w:vAlign w:val="center"/>
          </w:tcPr>
          <w:p>
            <w:r>
              <w:rPr>
                <w:rFonts w:ascii="Arial" w:hAnsi="Arial" w:eastAsia="Arial"/>
                <w:sz w:val="16"/>
              </w:rPr>
              <w:t>-17.4%</w:t>
            </w:r>
          </w:p>
        </w:tc>
        <w:tc>
          <w:tcPr>
            <w:tcW w:type="dxa" w:w="1170"/>
            <w:vAlign w:val="center"/>
          </w:tcPr>
          <w:p>
            <w:r>
              <w:rPr>
                <w:rFonts w:ascii="Arial" w:hAnsi="Arial" w:eastAsia="Arial"/>
                <w:sz w:val="16"/>
              </w:rPr>
              <w:t>71.5%</w:t>
            </w:r>
          </w:p>
        </w:tc>
      </w:tr>
      <w:tr>
        <w:tc>
          <w:tcPr>
            <w:tcW w:type="dxa" w:w="1170"/>
            <w:vAlign w:val="center"/>
          </w:tcPr>
          <w:p>
            <w:r>
              <w:rPr>
                <w:rFonts w:ascii="Arial" w:hAnsi="Arial" w:eastAsia="Arial"/>
                <w:sz w:val="16"/>
              </w:rPr>
              <w:t>S10 Defensive Growth Stabilizer+</w:t>
            </w:r>
          </w:p>
        </w:tc>
        <w:tc>
          <w:tcPr>
            <w:tcW w:type="dxa" w:w="1170"/>
            <w:vAlign w:val="center"/>
          </w:tcPr>
          <w:p>
            <w:r>
              <w:rPr>
                <w:rFonts w:ascii="Arial" w:hAnsi="Arial" w:eastAsia="Arial"/>
                <w:sz w:val="16"/>
              </w:rPr>
              <w:t>1.09</w:t>
            </w:r>
          </w:p>
        </w:tc>
        <w:tc>
          <w:tcPr>
            <w:tcW w:type="dxa" w:w="1170"/>
            <w:vAlign w:val="center"/>
          </w:tcPr>
          <w:p>
            <w:r>
              <w:rPr>
                <w:rFonts w:ascii="Arial" w:hAnsi="Arial" w:eastAsia="Arial"/>
                <w:sz w:val="16"/>
              </w:rPr>
              <w:t>1.48</w:t>
            </w:r>
          </w:p>
        </w:tc>
        <w:tc>
          <w:tcPr>
            <w:tcW w:type="dxa" w:w="1170"/>
            <w:vAlign w:val="center"/>
          </w:tcPr>
          <w:p>
            <w:r>
              <w:rPr>
                <w:rFonts w:ascii="Arial" w:hAnsi="Arial" w:eastAsia="Arial"/>
                <w:sz w:val="16"/>
              </w:rPr>
              <w:t>0.38</w:t>
            </w:r>
          </w:p>
        </w:tc>
        <w:tc>
          <w:tcPr>
            <w:tcW w:type="dxa" w:w="1170"/>
            <w:vAlign w:val="center"/>
          </w:tcPr>
          <w:p>
            <w:r>
              <w:rPr>
                <w:rFonts w:ascii="Arial" w:hAnsi="Arial" w:eastAsia="Arial"/>
                <w:sz w:val="16"/>
              </w:rPr>
              <w:t>18.5%</w:t>
            </w:r>
          </w:p>
        </w:tc>
        <w:tc>
          <w:tcPr>
            <w:tcW w:type="dxa" w:w="1170"/>
            <w:vAlign w:val="center"/>
          </w:tcPr>
          <w:p>
            <w:r>
              <w:rPr>
                <w:rFonts w:ascii="Arial" w:hAnsi="Arial" w:eastAsia="Arial"/>
                <w:sz w:val="16"/>
              </w:rPr>
              <w:t>12.5%</w:t>
            </w:r>
          </w:p>
        </w:tc>
        <w:tc>
          <w:tcPr>
            <w:tcW w:type="dxa" w:w="1170"/>
            <w:vAlign w:val="center"/>
          </w:tcPr>
          <w:p>
            <w:r>
              <w:rPr>
                <w:rFonts w:ascii="Arial" w:hAnsi="Arial" w:eastAsia="Arial"/>
                <w:sz w:val="16"/>
              </w:rPr>
              <w:t>-16.8%</w:t>
            </w:r>
          </w:p>
        </w:tc>
        <w:tc>
          <w:tcPr>
            <w:tcW w:type="dxa" w:w="1170"/>
            <w:vAlign w:val="center"/>
          </w:tcPr>
          <w:p>
            <w:r>
              <w:rPr>
                <w:rFonts w:ascii="Arial" w:hAnsi="Arial" w:eastAsia="Arial"/>
                <w:sz w:val="16"/>
              </w:rPr>
              <w:t>68.9%</w:t>
            </w:r>
          </w:p>
        </w:tc>
      </w:tr>
      <w:tr>
        <w:tc>
          <w:tcPr>
            <w:tcW w:type="dxa" w:w="1170"/>
            <w:vAlign w:val="center"/>
          </w:tcPr>
          <w:p>
            <w:r>
              <w:rPr>
                <w:rFonts w:ascii="Arial" w:hAnsi="Arial" w:eastAsia="Arial"/>
                <w:sz w:val="16"/>
              </w:rPr>
              <w:t>S12 Adaptive Volatility Compounder+</w:t>
            </w:r>
          </w:p>
        </w:tc>
        <w:tc>
          <w:tcPr>
            <w:tcW w:type="dxa" w:w="1170"/>
            <w:vAlign w:val="center"/>
          </w:tcPr>
          <w:p>
            <w:r>
              <w:rPr>
                <w:rFonts w:ascii="Arial" w:hAnsi="Arial" w:eastAsia="Arial"/>
                <w:sz w:val="16"/>
              </w:rPr>
              <w:t>1.19</w:t>
            </w:r>
          </w:p>
        </w:tc>
        <w:tc>
          <w:tcPr>
            <w:tcW w:type="dxa" w:w="1170"/>
            <w:vAlign w:val="center"/>
          </w:tcPr>
          <w:p>
            <w:r>
              <w:rPr>
                <w:rFonts w:ascii="Arial" w:hAnsi="Arial" w:eastAsia="Arial"/>
                <w:sz w:val="16"/>
              </w:rPr>
              <w:t>1.46</w:t>
            </w:r>
          </w:p>
        </w:tc>
        <w:tc>
          <w:tcPr>
            <w:tcW w:type="dxa" w:w="1170"/>
            <w:vAlign w:val="center"/>
          </w:tcPr>
          <w:p>
            <w:r>
              <w:rPr>
                <w:rFonts w:ascii="Arial" w:hAnsi="Arial" w:eastAsia="Arial"/>
                <w:sz w:val="16"/>
              </w:rPr>
              <w:t>0.27</w:t>
            </w:r>
          </w:p>
        </w:tc>
        <w:tc>
          <w:tcPr>
            <w:tcW w:type="dxa" w:w="1170"/>
            <w:vAlign w:val="center"/>
          </w:tcPr>
          <w:p>
            <w:r>
              <w:rPr>
                <w:rFonts w:ascii="Arial" w:hAnsi="Arial" w:eastAsia="Arial"/>
                <w:sz w:val="16"/>
              </w:rPr>
              <w:t>21.8%</w:t>
            </w:r>
          </w:p>
        </w:tc>
        <w:tc>
          <w:tcPr>
            <w:tcW w:type="dxa" w:w="1170"/>
            <w:vAlign w:val="center"/>
          </w:tcPr>
          <w:p>
            <w:r>
              <w:rPr>
                <w:rFonts w:ascii="Arial" w:hAnsi="Arial" w:eastAsia="Arial"/>
                <w:sz w:val="16"/>
              </w:rPr>
              <w:t>14.9%</w:t>
            </w:r>
          </w:p>
        </w:tc>
        <w:tc>
          <w:tcPr>
            <w:tcW w:type="dxa" w:w="1170"/>
            <w:vAlign w:val="center"/>
          </w:tcPr>
          <w:p>
            <w:r>
              <w:rPr>
                <w:rFonts w:ascii="Arial" w:hAnsi="Arial" w:eastAsia="Arial"/>
                <w:sz w:val="16"/>
              </w:rPr>
              <w:t>-17.5%</w:t>
            </w:r>
          </w:p>
        </w:tc>
        <w:tc>
          <w:tcPr>
            <w:tcW w:type="dxa" w:w="1170"/>
            <w:vAlign w:val="center"/>
          </w:tcPr>
          <w:p>
            <w:r>
              <w:rPr>
                <w:rFonts w:ascii="Arial" w:hAnsi="Arial" w:eastAsia="Arial"/>
                <w:sz w:val="16"/>
              </w:rPr>
              <w:t>55.5%</w:t>
            </w:r>
          </w:p>
        </w:tc>
      </w:tr>
      <w:tr>
        <w:tc>
          <w:tcPr>
            <w:tcW w:type="dxa" w:w="1170"/>
            <w:vAlign w:val="center"/>
          </w:tcPr>
          <w:p>
            <w:r>
              <w:rPr>
                <w:rFonts w:ascii="Arial" w:hAnsi="Arial" w:eastAsia="Arial"/>
                <w:sz w:val="16"/>
              </w:rPr>
              <w:t>S5 Regime-Switch Equity Hedge+</w:t>
            </w:r>
          </w:p>
        </w:tc>
        <w:tc>
          <w:tcPr>
            <w:tcW w:type="dxa" w:w="1170"/>
            <w:vAlign w:val="center"/>
          </w:tcPr>
          <w:p>
            <w:r>
              <w:rPr>
                <w:rFonts w:ascii="Arial" w:hAnsi="Arial" w:eastAsia="Arial"/>
                <w:sz w:val="16"/>
              </w:rPr>
              <w:t>1.32</w:t>
            </w:r>
          </w:p>
        </w:tc>
        <w:tc>
          <w:tcPr>
            <w:tcW w:type="dxa" w:w="1170"/>
            <w:vAlign w:val="center"/>
          </w:tcPr>
          <w:p>
            <w:r>
              <w:rPr>
                <w:rFonts w:ascii="Arial" w:hAnsi="Arial" w:eastAsia="Arial"/>
                <w:sz w:val="16"/>
              </w:rPr>
              <w:t>1.45</w:t>
            </w:r>
          </w:p>
        </w:tc>
        <w:tc>
          <w:tcPr>
            <w:tcW w:type="dxa" w:w="1170"/>
            <w:vAlign w:val="center"/>
          </w:tcPr>
          <w:p>
            <w:r>
              <w:rPr>
                <w:rFonts w:ascii="Arial" w:hAnsi="Arial" w:eastAsia="Arial"/>
                <w:sz w:val="16"/>
              </w:rPr>
              <w:t>0.14</w:t>
            </w:r>
          </w:p>
        </w:tc>
        <w:tc>
          <w:tcPr>
            <w:tcW w:type="dxa" w:w="1170"/>
            <w:vAlign w:val="center"/>
          </w:tcPr>
          <w:p>
            <w:r>
              <w:rPr>
                <w:rFonts w:ascii="Arial" w:hAnsi="Arial" w:eastAsia="Arial"/>
                <w:sz w:val="16"/>
              </w:rPr>
              <w:t>21.9%</w:t>
            </w:r>
          </w:p>
        </w:tc>
        <w:tc>
          <w:tcPr>
            <w:tcW w:type="dxa" w:w="1170"/>
            <w:vAlign w:val="center"/>
          </w:tcPr>
          <w:p>
            <w:r>
              <w:rPr>
                <w:rFonts w:ascii="Arial" w:hAnsi="Arial" w:eastAsia="Arial"/>
                <w:sz w:val="16"/>
              </w:rPr>
              <w:t>15.1%</w:t>
            </w:r>
          </w:p>
        </w:tc>
        <w:tc>
          <w:tcPr>
            <w:tcW w:type="dxa" w:w="1170"/>
            <w:vAlign w:val="center"/>
          </w:tcPr>
          <w:p>
            <w:r>
              <w:rPr>
                <w:rFonts w:ascii="Arial" w:hAnsi="Arial" w:eastAsia="Arial"/>
                <w:sz w:val="16"/>
              </w:rPr>
              <w:t>-19.5%</w:t>
            </w:r>
          </w:p>
        </w:tc>
        <w:tc>
          <w:tcPr>
            <w:tcW w:type="dxa" w:w="1170"/>
            <w:vAlign w:val="center"/>
          </w:tcPr>
          <w:p>
            <w:r>
              <w:rPr>
                <w:rFonts w:ascii="Arial" w:hAnsi="Arial" w:eastAsia="Arial"/>
                <w:sz w:val="16"/>
              </w:rPr>
              <w:t>51.4%</w:t>
            </w:r>
          </w:p>
        </w:tc>
      </w:tr>
      <w:tr>
        <w:tc>
          <w:tcPr>
            <w:tcW w:type="dxa" w:w="1170"/>
            <w:vAlign w:val="center"/>
          </w:tcPr>
          <w:p>
            <w:r>
              <w:rPr>
                <w:rFonts w:ascii="Arial" w:hAnsi="Arial" w:eastAsia="Arial"/>
                <w:sz w:val="16"/>
              </w:rPr>
              <w:t>S6 Credit-Liquidity Accelerator+</w:t>
            </w:r>
          </w:p>
        </w:tc>
        <w:tc>
          <w:tcPr>
            <w:tcW w:type="dxa" w:w="1170"/>
            <w:vAlign w:val="center"/>
          </w:tcPr>
          <w:p>
            <w:r>
              <w:rPr>
                <w:rFonts w:ascii="Arial" w:hAnsi="Arial" w:eastAsia="Arial"/>
                <w:sz w:val="16"/>
              </w:rPr>
              <w:t>1.26</w:t>
            </w:r>
          </w:p>
        </w:tc>
        <w:tc>
          <w:tcPr>
            <w:tcW w:type="dxa" w:w="1170"/>
            <w:vAlign w:val="center"/>
          </w:tcPr>
          <w:p>
            <w:r>
              <w:rPr>
                <w:rFonts w:ascii="Arial" w:hAnsi="Arial" w:eastAsia="Arial"/>
                <w:sz w:val="16"/>
              </w:rPr>
              <w:t>1.45</w:t>
            </w:r>
          </w:p>
        </w:tc>
        <w:tc>
          <w:tcPr>
            <w:tcW w:type="dxa" w:w="1170"/>
            <w:vAlign w:val="center"/>
          </w:tcPr>
          <w:p>
            <w:r>
              <w:rPr>
                <w:rFonts w:ascii="Arial" w:hAnsi="Arial" w:eastAsia="Arial"/>
                <w:sz w:val="16"/>
              </w:rPr>
              <w:t>0.20</w:t>
            </w:r>
          </w:p>
        </w:tc>
        <w:tc>
          <w:tcPr>
            <w:tcW w:type="dxa" w:w="1170"/>
            <w:vAlign w:val="center"/>
          </w:tcPr>
          <w:p>
            <w:r>
              <w:rPr>
                <w:rFonts w:ascii="Arial" w:hAnsi="Arial" w:eastAsia="Arial"/>
                <w:sz w:val="16"/>
              </w:rPr>
              <w:t>21.9%</w:t>
            </w:r>
          </w:p>
        </w:tc>
        <w:tc>
          <w:tcPr>
            <w:tcW w:type="dxa" w:w="1170"/>
            <w:vAlign w:val="center"/>
          </w:tcPr>
          <w:p>
            <w:r>
              <w:rPr>
                <w:rFonts w:ascii="Arial" w:hAnsi="Arial" w:eastAsia="Arial"/>
                <w:sz w:val="16"/>
              </w:rPr>
              <w:t>15.1%</w:t>
            </w:r>
          </w:p>
        </w:tc>
        <w:tc>
          <w:tcPr>
            <w:tcW w:type="dxa" w:w="1170"/>
            <w:vAlign w:val="center"/>
          </w:tcPr>
          <w:p>
            <w:r>
              <w:rPr>
                <w:rFonts w:ascii="Arial" w:hAnsi="Arial" w:eastAsia="Arial"/>
                <w:sz w:val="16"/>
              </w:rPr>
              <w:t>-19.5%</w:t>
            </w:r>
          </w:p>
        </w:tc>
        <w:tc>
          <w:tcPr>
            <w:tcW w:type="dxa" w:w="1170"/>
            <w:vAlign w:val="center"/>
          </w:tcPr>
          <w:p>
            <w:r>
              <w:rPr>
                <w:rFonts w:ascii="Arial" w:hAnsi="Arial" w:eastAsia="Arial"/>
                <w:sz w:val="16"/>
              </w:rPr>
              <w:t>51.4%</w:t>
            </w:r>
          </w:p>
        </w:tc>
      </w:tr>
      <w:tr>
        <w:tc>
          <w:tcPr>
            <w:tcW w:type="dxa" w:w="1170"/>
            <w:vAlign w:val="center"/>
          </w:tcPr>
          <w:p>
            <w:r>
              <w:rPr>
                <w:rFonts w:ascii="Arial" w:hAnsi="Arial" w:eastAsia="Arial"/>
                <w:sz w:val="16"/>
              </w:rPr>
              <w:t>V1 Momentum-Vol Research Model</w:t>
            </w:r>
          </w:p>
        </w:tc>
        <w:tc>
          <w:tcPr>
            <w:tcW w:type="dxa" w:w="1170"/>
            <w:vAlign w:val="center"/>
          </w:tcPr>
          <w:p>
            <w:r>
              <w:rPr>
                <w:rFonts w:ascii="Arial" w:hAnsi="Arial" w:eastAsia="Arial"/>
                <w:sz w:val="16"/>
              </w:rPr>
              <w:t>1.20</w:t>
            </w:r>
          </w:p>
        </w:tc>
        <w:tc>
          <w:tcPr>
            <w:tcW w:type="dxa" w:w="1170"/>
            <w:vAlign w:val="center"/>
          </w:tcPr>
          <w:p>
            <w:r>
              <w:rPr>
                <w:rFonts w:ascii="Arial" w:hAnsi="Arial" w:eastAsia="Arial"/>
                <w:sz w:val="16"/>
              </w:rPr>
              <w:t>1.45</w:t>
            </w:r>
          </w:p>
        </w:tc>
        <w:tc>
          <w:tcPr>
            <w:tcW w:type="dxa" w:w="1170"/>
            <w:vAlign w:val="center"/>
          </w:tcPr>
          <w:p>
            <w:r>
              <w:rPr>
                <w:rFonts w:ascii="Arial" w:hAnsi="Arial" w:eastAsia="Arial"/>
                <w:sz w:val="16"/>
              </w:rPr>
              <w:t>0.26</w:t>
            </w:r>
          </w:p>
        </w:tc>
        <w:tc>
          <w:tcPr>
            <w:tcW w:type="dxa" w:w="1170"/>
            <w:vAlign w:val="center"/>
          </w:tcPr>
          <w:p>
            <w:r>
              <w:rPr>
                <w:rFonts w:ascii="Arial" w:hAnsi="Arial" w:eastAsia="Arial"/>
                <w:sz w:val="16"/>
              </w:rPr>
              <w:t>21.9%</w:t>
            </w:r>
          </w:p>
        </w:tc>
        <w:tc>
          <w:tcPr>
            <w:tcW w:type="dxa" w:w="1170"/>
            <w:vAlign w:val="center"/>
          </w:tcPr>
          <w:p>
            <w:r>
              <w:rPr>
                <w:rFonts w:ascii="Arial" w:hAnsi="Arial" w:eastAsia="Arial"/>
                <w:sz w:val="16"/>
              </w:rPr>
              <w:t>15.1%</w:t>
            </w:r>
          </w:p>
        </w:tc>
        <w:tc>
          <w:tcPr>
            <w:tcW w:type="dxa" w:w="1170"/>
            <w:vAlign w:val="center"/>
          </w:tcPr>
          <w:p>
            <w:r>
              <w:rPr>
                <w:rFonts w:ascii="Arial" w:hAnsi="Arial" w:eastAsia="Arial"/>
                <w:sz w:val="16"/>
              </w:rPr>
              <w:t>-19.5%</w:t>
            </w:r>
          </w:p>
        </w:tc>
        <w:tc>
          <w:tcPr>
            <w:tcW w:type="dxa" w:w="1170"/>
            <w:vAlign w:val="center"/>
          </w:tcPr>
          <w:p>
            <w:r>
              <w:rPr>
                <w:rFonts w:ascii="Arial" w:hAnsi="Arial" w:eastAsia="Arial"/>
                <w:sz w:val="16"/>
              </w:rPr>
              <w:t>51.4%</w:t>
            </w:r>
          </w:p>
        </w:tc>
      </w:tr>
      <w:tr>
        <w:tc>
          <w:tcPr>
            <w:tcW w:type="dxa" w:w="1170"/>
            <w:vAlign w:val="center"/>
          </w:tcPr>
          <w:p>
            <w:r>
              <w:rPr>
                <w:rFonts w:ascii="Arial" w:hAnsi="Arial" w:eastAsia="Arial"/>
                <w:sz w:val="16"/>
              </w:rPr>
              <w:t>V2 HMM-GARCH-MVO</w:t>
            </w:r>
          </w:p>
        </w:tc>
        <w:tc>
          <w:tcPr>
            <w:tcW w:type="dxa" w:w="1170"/>
            <w:vAlign w:val="center"/>
          </w:tcPr>
          <w:p>
            <w:r>
              <w:rPr>
                <w:rFonts w:ascii="Arial" w:hAnsi="Arial" w:eastAsia="Arial"/>
                <w:sz w:val="16"/>
              </w:rPr>
              <w:t>1.15</w:t>
            </w:r>
          </w:p>
        </w:tc>
        <w:tc>
          <w:tcPr>
            <w:tcW w:type="dxa" w:w="1170"/>
            <w:vAlign w:val="center"/>
          </w:tcPr>
          <w:p>
            <w:r>
              <w:rPr>
                <w:rFonts w:ascii="Arial" w:hAnsi="Arial" w:eastAsia="Arial"/>
                <w:sz w:val="16"/>
              </w:rPr>
              <w:t>1.41</w:t>
            </w:r>
          </w:p>
        </w:tc>
        <w:tc>
          <w:tcPr>
            <w:tcW w:type="dxa" w:w="1170"/>
            <w:vAlign w:val="center"/>
          </w:tcPr>
          <w:p>
            <w:r>
              <w:rPr>
                <w:rFonts w:ascii="Arial" w:hAnsi="Arial" w:eastAsia="Arial"/>
                <w:sz w:val="16"/>
              </w:rPr>
              <w:t>0.26</w:t>
            </w:r>
          </w:p>
        </w:tc>
        <w:tc>
          <w:tcPr>
            <w:tcW w:type="dxa" w:w="1170"/>
            <w:vAlign w:val="center"/>
          </w:tcPr>
          <w:p>
            <w:r>
              <w:rPr>
                <w:rFonts w:ascii="Arial" w:hAnsi="Arial" w:eastAsia="Arial"/>
                <w:sz w:val="16"/>
              </w:rPr>
              <w:t>20.3%</w:t>
            </w:r>
          </w:p>
        </w:tc>
        <w:tc>
          <w:tcPr>
            <w:tcW w:type="dxa" w:w="1170"/>
            <w:vAlign w:val="center"/>
          </w:tcPr>
          <w:p>
            <w:r>
              <w:rPr>
                <w:rFonts w:ascii="Arial" w:hAnsi="Arial" w:eastAsia="Arial"/>
                <w:sz w:val="16"/>
              </w:rPr>
              <w:t>14.4%</w:t>
            </w:r>
          </w:p>
        </w:tc>
        <w:tc>
          <w:tcPr>
            <w:tcW w:type="dxa" w:w="1170"/>
            <w:vAlign w:val="center"/>
          </w:tcPr>
          <w:p>
            <w:r>
              <w:rPr>
                <w:rFonts w:ascii="Arial" w:hAnsi="Arial" w:eastAsia="Arial"/>
                <w:sz w:val="16"/>
              </w:rPr>
              <w:t>-16.1%</w:t>
            </w:r>
          </w:p>
        </w:tc>
        <w:tc>
          <w:tcPr>
            <w:tcW w:type="dxa" w:w="1170"/>
            <w:vAlign w:val="center"/>
          </w:tcPr>
          <w:p>
            <w:r>
              <w:rPr>
                <w:rFonts w:ascii="Arial" w:hAnsi="Arial" w:eastAsia="Arial"/>
                <w:sz w:val="16"/>
              </w:rPr>
              <w:t>55.0%</w:t>
            </w:r>
          </w:p>
        </w:tc>
      </w:tr>
      <w:tr>
        <w:tc>
          <w:tcPr>
            <w:tcW w:type="dxa" w:w="1170"/>
            <w:vAlign w:val="center"/>
          </w:tcPr>
          <w:p>
            <w:r>
              <w:rPr>
                <w:rFonts w:ascii="Arial" w:hAnsi="Arial" w:eastAsia="Arial"/>
                <w:sz w:val="16"/>
              </w:rPr>
              <w:t>S9 Sector-Breadth Rotation+</w:t>
            </w:r>
          </w:p>
        </w:tc>
        <w:tc>
          <w:tcPr>
            <w:tcW w:type="dxa" w:w="1170"/>
            <w:vAlign w:val="center"/>
          </w:tcPr>
          <w:p>
            <w:r>
              <w:rPr>
                <w:rFonts w:ascii="Arial" w:hAnsi="Arial" w:eastAsia="Arial"/>
                <w:sz w:val="16"/>
              </w:rPr>
              <w:t>1.23</w:t>
            </w:r>
          </w:p>
        </w:tc>
        <w:tc>
          <w:tcPr>
            <w:tcW w:type="dxa" w:w="1170"/>
            <w:vAlign w:val="center"/>
          </w:tcPr>
          <w:p>
            <w:r>
              <w:rPr>
                <w:rFonts w:ascii="Arial" w:hAnsi="Arial" w:eastAsia="Arial"/>
                <w:sz w:val="16"/>
              </w:rPr>
              <w:t>1.40</w:t>
            </w:r>
          </w:p>
        </w:tc>
        <w:tc>
          <w:tcPr>
            <w:tcW w:type="dxa" w:w="1170"/>
            <w:vAlign w:val="center"/>
          </w:tcPr>
          <w:p>
            <w:r>
              <w:rPr>
                <w:rFonts w:ascii="Arial" w:hAnsi="Arial" w:eastAsia="Arial"/>
                <w:sz w:val="16"/>
              </w:rPr>
              <w:t>0.16</w:t>
            </w:r>
          </w:p>
        </w:tc>
        <w:tc>
          <w:tcPr>
            <w:tcW w:type="dxa" w:w="1170"/>
            <w:vAlign w:val="center"/>
          </w:tcPr>
          <w:p>
            <w:r>
              <w:rPr>
                <w:rFonts w:ascii="Arial" w:hAnsi="Arial" w:eastAsia="Arial"/>
                <w:sz w:val="16"/>
              </w:rPr>
              <w:t>21.7%</w:t>
            </w:r>
          </w:p>
        </w:tc>
        <w:tc>
          <w:tcPr>
            <w:tcW w:type="dxa" w:w="1170"/>
            <w:vAlign w:val="center"/>
          </w:tcPr>
          <w:p>
            <w:r>
              <w:rPr>
                <w:rFonts w:ascii="Arial" w:hAnsi="Arial" w:eastAsia="Arial"/>
                <w:sz w:val="16"/>
              </w:rPr>
              <w:t>15.5%</w:t>
            </w:r>
          </w:p>
        </w:tc>
        <w:tc>
          <w:tcPr>
            <w:tcW w:type="dxa" w:w="1170"/>
            <w:vAlign w:val="center"/>
          </w:tcPr>
          <w:p>
            <w:r>
              <w:rPr>
                <w:rFonts w:ascii="Arial" w:hAnsi="Arial" w:eastAsia="Arial"/>
                <w:sz w:val="16"/>
              </w:rPr>
              <w:t>-18.4%</w:t>
            </w:r>
          </w:p>
        </w:tc>
        <w:tc>
          <w:tcPr>
            <w:tcW w:type="dxa" w:w="1170"/>
            <w:vAlign w:val="center"/>
          </w:tcPr>
          <w:p>
            <w:r>
              <w:rPr>
                <w:rFonts w:ascii="Arial" w:hAnsi="Arial" w:eastAsia="Arial"/>
                <w:sz w:val="16"/>
              </w:rPr>
              <w:t>49.7%</w:t>
            </w:r>
          </w:p>
        </w:tc>
      </w:tr>
      <w:tr>
        <w:tc>
          <w:tcPr>
            <w:tcW w:type="dxa" w:w="1170"/>
            <w:vAlign w:val="center"/>
          </w:tcPr>
          <w:p>
            <w:r>
              <w:rPr>
                <w:rFonts w:ascii="Arial" w:hAnsi="Arial" w:eastAsia="Arial"/>
                <w:sz w:val="16"/>
              </w:rPr>
              <w:t>S4 Low-Vol Alpha Shield+</w:t>
            </w:r>
          </w:p>
        </w:tc>
        <w:tc>
          <w:tcPr>
            <w:tcW w:type="dxa" w:w="1170"/>
            <w:vAlign w:val="center"/>
          </w:tcPr>
          <w:p>
            <w:r>
              <w:rPr>
                <w:rFonts w:ascii="Arial" w:hAnsi="Arial" w:eastAsia="Arial"/>
                <w:sz w:val="16"/>
              </w:rPr>
              <w:t>1.13</w:t>
            </w:r>
          </w:p>
        </w:tc>
        <w:tc>
          <w:tcPr>
            <w:tcW w:type="dxa" w:w="1170"/>
            <w:vAlign w:val="center"/>
          </w:tcPr>
          <w:p>
            <w:r>
              <w:rPr>
                <w:rFonts w:ascii="Arial" w:hAnsi="Arial" w:eastAsia="Arial"/>
                <w:sz w:val="16"/>
              </w:rPr>
              <w:t>1.39</w:t>
            </w:r>
          </w:p>
        </w:tc>
        <w:tc>
          <w:tcPr>
            <w:tcW w:type="dxa" w:w="1170"/>
            <w:vAlign w:val="center"/>
          </w:tcPr>
          <w:p>
            <w:r>
              <w:rPr>
                <w:rFonts w:ascii="Arial" w:hAnsi="Arial" w:eastAsia="Arial"/>
                <w:sz w:val="16"/>
              </w:rPr>
              <w:t>0.26</w:t>
            </w:r>
          </w:p>
        </w:tc>
        <w:tc>
          <w:tcPr>
            <w:tcW w:type="dxa" w:w="1170"/>
            <w:vAlign w:val="center"/>
          </w:tcPr>
          <w:p>
            <w:r>
              <w:rPr>
                <w:rFonts w:ascii="Arial" w:hAnsi="Arial" w:eastAsia="Arial"/>
                <w:sz w:val="16"/>
              </w:rPr>
              <w:t>18.9%</w:t>
            </w:r>
          </w:p>
        </w:tc>
        <w:tc>
          <w:tcPr>
            <w:tcW w:type="dxa" w:w="1170"/>
            <w:vAlign w:val="center"/>
          </w:tcPr>
          <w:p>
            <w:r>
              <w:rPr>
                <w:rFonts w:ascii="Arial" w:hAnsi="Arial" w:eastAsia="Arial"/>
                <w:sz w:val="16"/>
              </w:rPr>
              <w:t>13.5%</w:t>
            </w:r>
          </w:p>
        </w:tc>
        <w:tc>
          <w:tcPr>
            <w:tcW w:type="dxa" w:w="1170"/>
            <w:vAlign w:val="center"/>
          </w:tcPr>
          <w:p>
            <w:r>
              <w:rPr>
                <w:rFonts w:ascii="Arial" w:hAnsi="Arial" w:eastAsia="Arial"/>
                <w:sz w:val="16"/>
              </w:rPr>
              <w:t>-16.6%</w:t>
            </w:r>
          </w:p>
        </w:tc>
        <w:tc>
          <w:tcPr>
            <w:tcW w:type="dxa" w:w="1170"/>
            <w:vAlign w:val="center"/>
          </w:tcPr>
          <w:p>
            <w:r>
              <w:rPr>
                <w:rFonts w:ascii="Arial" w:hAnsi="Arial" w:eastAsia="Arial"/>
                <w:sz w:val="16"/>
              </w:rPr>
              <w:t>59.3%</w:t>
            </w:r>
          </w:p>
        </w:tc>
      </w:tr>
      <w:tr>
        <w:tc>
          <w:tcPr>
            <w:tcW w:type="dxa" w:w="1170"/>
            <w:vAlign w:val="center"/>
          </w:tcPr>
          <w:p>
            <w:r>
              <w:rPr>
                <w:rFonts w:ascii="Arial" w:hAnsi="Arial" w:eastAsia="Arial"/>
                <w:sz w:val="16"/>
              </w:rPr>
              <w:t>S1 AI Capex Momentum+</w:t>
            </w:r>
          </w:p>
        </w:tc>
        <w:tc>
          <w:tcPr>
            <w:tcW w:type="dxa" w:w="1170"/>
            <w:vAlign w:val="center"/>
          </w:tcPr>
          <w:p>
            <w:r>
              <w:rPr>
                <w:rFonts w:ascii="Arial" w:hAnsi="Arial" w:eastAsia="Arial"/>
                <w:sz w:val="16"/>
              </w:rPr>
              <w:t>1.36</w:t>
            </w:r>
          </w:p>
        </w:tc>
        <w:tc>
          <w:tcPr>
            <w:tcW w:type="dxa" w:w="1170"/>
            <w:vAlign w:val="center"/>
          </w:tcPr>
          <w:p>
            <w:r>
              <w:rPr>
                <w:rFonts w:ascii="Arial" w:hAnsi="Arial" w:eastAsia="Arial"/>
                <w:sz w:val="16"/>
              </w:rPr>
              <w:t>1.39</w:t>
            </w:r>
          </w:p>
        </w:tc>
        <w:tc>
          <w:tcPr>
            <w:tcW w:type="dxa" w:w="1170"/>
            <w:vAlign w:val="center"/>
          </w:tcPr>
          <w:p>
            <w:r>
              <w:rPr>
                <w:rFonts w:ascii="Arial" w:hAnsi="Arial" w:eastAsia="Arial"/>
                <w:sz w:val="16"/>
              </w:rPr>
              <w:t>0.02</w:t>
            </w:r>
          </w:p>
        </w:tc>
        <w:tc>
          <w:tcPr>
            <w:tcW w:type="dxa" w:w="1170"/>
            <w:vAlign w:val="center"/>
          </w:tcPr>
          <w:p>
            <w:r>
              <w:rPr>
                <w:rFonts w:ascii="Arial" w:hAnsi="Arial" w:eastAsia="Arial"/>
                <w:sz w:val="16"/>
              </w:rPr>
              <w:t>22.1%</w:t>
            </w:r>
          </w:p>
        </w:tc>
        <w:tc>
          <w:tcPr>
            <w:tcW w:type="dxa" w:w="1170"/>
            <w:vAlign w:val="center"/>
          </w:tcPr>
          <w:p>
            <w:r>
              <w:rPr>
                <w:rFonts w:ascii="Arial" w:hAnsi="Arial" w:eastAsia="Arial"/>
                <w:sz w:val="16"/>
              </w:rPr>
              <w:t>15.9%</w:t>
            </w:r>
          </w:p>
        </w:tc>
        <w:tc>
          <w:tcPr>
            <w:tcW w:type="dxa" w:w="1170"/>
            <w:vAlign w:val="center"/>
          </w:tcPr>
          <w:p>
            <w:r>
              <w:rPr>
                <w:rFonts w:ascii="Arial" w:hAnsi="Arial" w:eastAsia="Arial"/>
                <w:sz w:val="16"/>
              </w:rPr>
              <w:t>-21.1%</w:t>
            </w:r>
          </w:p>
        </w:tc>
        <w:tc>
          <w:tcPr>
            <w:tcW w:type="dxa" w:w="1170"/>
            <w:vAlign w:val="center"/>
          </w:tcPr>
          <w:p>
            <w:r>
              <w:rPr>
                <w:rFonts w:ascii="Arial" w:hAnsi="Arial" w:eastAsia="Arial"/>
                <w:sz w:val="16"/>
              </w:rPr>
              <w:t>45.8%</w:t>
            </w:r>
          </w:p>
        </w:tc>
      </w:tr>
      <w:tr>
        <w:tc>
          <w:tcPr>
            <w:tcW w:type="dxa" w:w="1170"/>
            <w:vAlign w:val="center"/>
          </w:tcPr>
          <w:p>
            <w:r>
              <w:rPr>
                <w:rFonts w:ascii="Arial" w:hAnsi="Arial" w:eastAsia="Arial"/>
                <w:sz w:val="16"/>
              </w:rPr>
              <w:t>S8 Trend-Guarded Reversion+</w:t>
            </w:r>
          </w:p>
        </w:tc>
        <w:tc>
          <w:tcPr>
            <w:tcW w:type="dxa" w:w="1170"/>
            <w:vAlign w:val="center"/>
          </w:tcPr>
          <w:p>
            <w:r>
              <w:rPr>
                <w:rFonts w:ascii="Arial" w:hAnsi="Arial" w:eastAsia="Arial"/>
                <w:sz w:val="16"/>
              </w:rPr>
              <w:t>1.18</w:t>
            </w:r>
          </w:p>
        </w:tc>
        <w:tc>
          <w:tcPr>
            <w:tcW w:type="dxa" w:w="1170"/>
            <w:vAlign w:val="center"/>
          </w:tcPr>
          <w:p>
            <w:r>
              <w:rPr>
                <w:rFonts w:ascii="Arial" w:hAnsi="Arial" w:eastAsia="Arial"/>
                <w:sz w:val="16"/>
              </w:rPr>
              <w:t>1.36</w:t>
            </w:r>
          </w:p>
        </w:tc>
        <w:tc>
          <w:tcPr>
            <w:tcW w:type="dxa" w:w="1170"/>
            <w:vAlign w:val="center"/>
          </w:tcPr>
          <w:p>
            <w:r>
              <w:rPr>
                <w:rFonts w:ascii="Arial" w:hAnsi="Arial" w:eastAsia="Arial"/>
                <w:sz w:val="16"/>
              </w:rPr>
              <w:t>0.18</w:t>
            </w:r>
          </w:p>
        </w:tc>
        <w:tc>
          <w:tcPr>
            <w:tcW w:type="dxa" w:w="1170"/>
            <w:vAlign w:val="center"/>
          </w:tcPr>
          <w:p>
            <w:r>
              <w:rPr>
                <w:rFonts w:ascii="Arial" w:hAnsi="Arial" w:eastAsia="Arial"/>
                <w:sz w:val="16"/>
              </w:rPr>
              <w:t>17.8%</w:t>
            </w:r>
          </w:p>
        </w:tc>
        <w:tc>
          <w:tcPr>
            <w:tcW w:type="dxa" w:w="1170"/>
            <w:vAlign w:val="center"/>
          </w:tcPr>
          <w:p>
            <w:r>
              <w:rPr>
                <w:rFonts w:ascii="Arial" w:hAnsi="Arial" w:eastAsia="Arial"/>
                <w:sz w:val="16"/>
              </w:rPr>
              <w:t>13.1%</w:t>
            </w:r>
          </w:p>
        </w:tc>
        <w:tc>
          <w:tcPr>
            <w:tcW w:type="dxa" w:w="1170"/>
            <w:vAlign w:val="center"/>
          </w:tcPr>
          <w:p>
            <w:r>
              <w:rPr>
                <w:rFonts w:ascii="Arial" w:hAnsi="Arial" w:eastAsia="Arial"/>
                <w:sz w:val="16"/>
              </w:rPr>
              <w:t>-20.4%</w:t>
            </w:r>
          </w:p>
        </w:tc>
        <w:tc>
          <w:tcPr>
            <w:tcW w:type="dxa" w:w="1170"/>
            <w:vAlign w:val="center"/>
          </w:tcPr>
          <w:p>
            <w:r>
              <w:rPr>
                <w:rFonts w:ascii="Arial" w:hAnsi="Arial" w:eastAsia="Arial"/>
                <w:sz w:val="16"/>
              </w:rPr>
              <w:t>135.6%</w:t>
            </w:r>
          </w:p>
        </w:tc>
      </w:tr>
      <w:tr>
        <w:tc>
          <w:tcPr>
            <w:tcW w:type="dxa" w:w="1170"/>
            <w:vAlign w:val="center"/>
          </w:tcPr>
          <w:p>
            <w:r>
              <w:rPr>
                <w:rFonts w:ascii="Arial" w:hAnsi="Arial" w:eastAsia="Arial"/>
                <w:sz w:val="16"/>
              </w:rPr>
              <w:t>S11 Tail-Risk Shock Absorber+</w:t>
            </w:r>
          </w:p>
        </w:tc>
        <w:tc>
          <w:tcPr>
            <w:tcW w:type="dxa" w:w="1170"/>
            <w:vAlign w:val="center"/>
          </w:tcPr>
          <w:p>
            <w:r>
              <w:rPr>
                <w:rFonts w:ascii="Arial" w:hAnsi="Arial" w:eastAsia="Arial"/>
                <w:sz w:val="16"/>
              </w:rPr>
              <w:t>1.22</w:t>
            </w:r>
          </w:p>
        </w:tc>
        <w:tc>
          <w:tcPr>
            <w:tcW w:type="dxa" w:w="1170"/>
            <w:vAlign w:val="center"/>
          </w:tcPr>
          <w:p>
            <w:r>
              <w:rPr>
                <w:rFonts w:ascii="Arial" w:hAnsi="Arial" w:eastAsia="Arial"/>
                <w:sz w:val="16"/>
              </w:rPr>
              <w:t>1.34</w:t>
            </w:r>
          </w:p>
        </w:tc>
        <w:tc>
          <w:tcPr>
            <w:tcW w:type="dxa" w:w="1170"/>
            <w:vAlign w:val="center"/>
          </w:tcPr>
          <w:p>
            <w:r>
              <w:rPr>
                <w:rFonts w:ascii="Arial" w:hAnsi="Arial" w:eastAsia="Arial"/>
                <w:sz w:val="16"/>
              </w:rPr>
              <w:t>0.12</w:t>
            </w:r>
          </w:p>
        </w:tc>
        <w:tc>
          <w:tcPr>
            <w:tcW w:type="dxa" w:w="1170"/>
            <w:vAlign w:val="center"/>
          </w:tcPr>
          <w:p>
            <w:r>
              <w:rPr>
                <w:rFonts w:ascii="Arial" w:hAnsi="Arial" w:eastAsia="Arial"/>
                <w:sz w:val="16"/>
              </w:rPr>
              <w:t>19.7%</w:t>
            </w:r>
          </w:p>
        </w:tc>
        <w:tc>
          <w:tcPr>
            <w:tcW w:type="dxa" w:w="1170"/>
            <w:vAlign w:val="center"/>
          </w:tcPr>
          <w:p>
            <w:r>
              <w:rPr>
                <w:rFonts w:ascii="Arial" w:hAnsi="Arial" w:eastAsia="Arial"/>
                <w:sz w:val="16"/>
              </w:rPr>
              <w:t>14.7%</w:t>
            </w:r>
          </w:p>
        </w:tc>
        <w:tc>
          <w:tcPr>
            <w:tcW w:type="dxa" w:w="1170"/>
            <w:vAlign w:val="center"/>
          </w:tcPr>
          <w:p>
            <w:r>
              <w:rPr>
                <w:rFonts w:ascii="Arial" w:hAnsi="Arial" w:eastAsia="Arial"/>
                <w:sz w:val="16"/>
              </w:rPr>
              <w:t>-18.6%</w:t>
            </w:r>
          </w:p>
        </w:tc>
        <w:tc>
          <w:tcPr>
            <w:tcW w:type="dxa" w:w="1170"/>
            <w:vAlign w:val="center"/>
          </w:tcPr>
          <w:p>
            <w:r>
              <w:rPr>
                <w:rFonts w:ascii="Arial" w:hAnsi="Arial" w:eastAsia="Arial"/>
                <w:sz w:val="16"/>
              </w:rPr>
              <w:t>53.4%</w:t>
            </w:r>
          </w:p>
        </w:tc>
      </w:tr>
      <w:tr>
        <w:tc>
          <w:tcPr>
            <w:tcW w:type="dxa" w:w="1170"/>
            <w:vAlign w:val="center"/>
          </w:tcPr>
          <w:p>
            <w:r>
              <w:rPr>
                <w:rFonts w:ascii="Arial" w:hAnsi="Arial" w:eastAsia="Arial"/>
                <w:sz w:val="16"/>
              </w:rPr>
              <w:t>S3 Crowding-Aware Momentum+</w:t>
            </w:r>
          </w:p>
        </w:tc>
        <w:tc>
          <w:tcPr>
            <w:tcW w:type="dxa" w:w="1170"/>
            <w:vAlign w:val="center"/>
          </w:tcPr>
          <w:p>
            <w:r>
              <w:rPr>
                <w:rFonts w:ascii="Arial" w:hAnsi="Arial" w:eastAsia="Arial"/>
                <w:sz w:val="16"/>
              </w:rPr>
              <w:t>1.15</w:t>
            </w:r>
          </w:p>
        </w:tc>
        <w:tc>
          <w:tcPr>
            <w:tcW w:type="dxa" w:w="1170"/>
            <w:vAlign w:val="center"/>
          </w:tcPr>
          <w:p>
            <w:r>
              <w:rPr>
                <w:rFonts w:ascii="Arial" w:hAnsi="Arial" w:eastAsia="Arial"/>
                <w:sz w:val="16"/>
              </w:rPr>
              <w:t>1.33</w:t>
            </w:r>
          </w:p>
        </w:tc>
        <w:tc>
          <w:tcPr>
            <w:tcW w:type="dxa" w:w="1170"/>
            <w:vAlign w:val="center"/>
          </w:tcPr>
          <w:p>
            <w:r>
              <w:rPr>
                <w:rFonts w:ascii="Arial" w:hAnsi="Arial" w:eastAsia="Arial"/>
                <w:sz w:val="16"/>
              </w:rPr>
              <w:t>0.17</w:t>
            </w:r>
          </w:p>
        </w:tc>
        <w:tc>
          <w:tcPr>
            <w:tcW w:type="dxa" w:w="1170"/>
            <w:vAlign w:val="center"/>
          </w:tcPr>
          <w:p>
            <w:r>
              <w:rPr>
                <w:rFonts w:ascii="Arial" w:hAnsi="Arial" w:eastAsia="Arial"/>
                <w:sz w:val="16"/>
              </w:rPr>
              <w:t>19.8%</w:t>
            </w:r>
          </w:p>
        </w:tc>
        <w:tc>
          <w:tcPr>
            <w:tcW w:type="dxa" w:w="1170"/>
            <w:vAlign w:val="center"/>
          </w:tcPr>
          <w:p>
            <w:r>
              <w:rPr>
                <w:rFonts w:ascii="Arial" w:hAnsi="Arial" w:eastAsia="Arial"/>
                <w:sz w:val="16"/>
              </w:rPr>
              <w:t>14.9%</w:t>
            </w:r>
          </w:p>
        </w:tc>
        <w:tc>
          <w:tcPr>
            <w:tcW w:type="dxa" w:w="1170"/>
            <w:vAlign w:val="center"/>
          </w:tcPr>
          <w:p>
            <w:r>
              <w:rPr>
                <w:rFonts w:ascii="Arial" w:hAnsi="Arial" w:eastAsia="Arial"/>
                <w:sz w:val="16"/>
              </w:rPr>
              <w:t>-20.6%</w:t>
            </w:r>
          </w:p>
        </w:tc>
        <w:tc>
          <w:tcPr>
            <w:tcW w:type="dxa" w:w="1170"/>
            <w:vAlign w:val="center"/>
          </w:tcPr>
          <w:p>
            <w:r>
              <w:rPr>
                <w:rFonts w:ascii="Arial" w:hAnsi="Arial" w:eastAsia="Arial"/>
                <w:sz w:val="16"/>
              </w:rPr>
              <w:t>56.6%</w:t>
            </w:r>
          </w:p>
        </w:tc>
      </w:tr>
      <w:tr>
        <w:tc>
          <w:tcPr>
            <w:tcW w:type="dxa" w:w="1170"/>
            <w:vAlign w:val="center"/>
          </w:tcPr>
          <w:p>
            <w:r>
              <w:rPr>
                <w:rFonts w:ascii="Arial" w:hAnsi="Arial" w:eastAsia="Arial"/>
                <w:sz w:val="16"/>
              </w:rPr>
              <w:t>S2 Quality Growth Barbell+</w:t>
            </w:r>
          </w:p>
        </w:tc>
        <w:tc>
          <w:tcPr>
            <w:tcW w:type="dxa" w:w="1170"/>
            <w:vAlign w:val="center"/>
          </w:tcPr>
          <w:p>
            <w:r>
              <w:rPr>
                <w:rFonts w:ascii="Arial" w:hAnsi="Arial" w:eastAsia="Arial"/>
                <w:sz w:val="16"/>
              </w:rPr>
              <w:t>1.44</w:t>
            </w:r>
          </w:p>
        </w:tc>
        <w:tc>
          <w:tcPr>
            <w:tcW w:type="dxa" w:w="1170"/>
            <w:vAlign w:val="center"/>
          </w:tcPr>
          <w:p>
            <w:r>
              <w:rPr>
                <w:rFonts w:ascii="Arial" w:hAnsi="Arial" w:eastAsia="Arial"/>
                <w:sz w:val="16"/>
              </w:rPr>
              <w:t>1.31</w:t>
            </w:r>
          </w:p>
        </w:tc>
        <w:tc>
          <w:tcPr>
            <w:tcW w:type="dxa" w:w="1170"/>
            <w:vAlign w:val="center"/>
          </w:tcPr>
          <w:p>
            <w:r>
              <w:rPr>
                <w:rFonts w:ascii="Arial" w:hAnsi="Arial" w:eastAsia="Arial"/>
                <w:sz w:val="16"/>
              </w:rPr>
              <w:t>-0.13</w:t>
            </w:r>
          </w:p>
        </w:tc>
        <w:tc>
          <w:tcPr>
            <w:tcW w:type="dxa" w:w="1170"/>
            <w:vAlign w:val="center"/>
          </w:tcPr>
          <w:p>
            <w:r>
              <w:rPr>
                <w:rFonts w:ascii="Arial" w:hAnsi="Arial" w:eastAsia="Arial"/>
                <w:sz w:val="16"/>
              </w:rPr>
              <w:t>19.5%</w:t>
            </w:r>
          </w:p>
        </w:tc>
        <w:tc>
          <w:tcPr>
            <w:tcW w:type="dxa" w:w="1170"/>
            <w:vAlign w:val="center"/>
          </w:tcPr>
          <w:p>
            <w:r>
              <w:rPr>
                <w:rFonts w:ascii="Arial" w:hAnsi="Arial" w:eastAsia="Arial"/>
                <w:sz w:val="16"/>
              </w:rPr>
              <w:t>14.9%</w:t>
            </w:r>
          </w:p>
        </w:tc>
        <w:tc>
          <w:tcPr>
            <w:tcW w:type="dxa" w:w="1170"/>
            <w:vAlign w:val="center"/>
          </w:tcPr>
          <w:p>
            <w:r>
              <w:rPr>
                <w:rFonts w:ascii="Arial" w:hAnsi="Arial" w:eastAsia="Arial"/>
                <w:sz w:val="16"/>
              </w:rPr>
              <w:t>-18.7%</w:t>
            </w:r>
          </w:p>
        </w:tc>
        <w:tc>
          <w:tcPr>
            <w:tcW w:type="dxa" w:w="1170"/>
            <w:vAlign w:val="center"/>
          </w:tcPr>
          <w:p>
            <w:r>
              <w:rPr>
                <w:rFonts w:ascii="Arial" w:hAnsi="Arial" w:eastAsia="Arial"/>
                <w:sz w:val="16"/>
              </w:rPr>
              <w:t>54.7%</w:t>
            </w:r>
          </w:p>
        </w:tc>
      </w:tr>
      <w:tr>
        <w:tc>
          <w:tcPr>
            <w:tcW w:type="dxa" w:w="1170"/>
            <w:vAlign w:val="center"/>
          </w:tcPr>
          <w:p>
            <w:r>
              <w:rPr>
                <w:rFonts w:ascii="Arial" w:hAnsi="Arial" w:eastAsia="Arial"/>
                <w:sz w:val="16"/>
              </w:rPr>
              <w:t>S7 Revision-Proxy Growth Rank+</w:t>
            </w:r>
          </w:p>
        </w:tc>
        <w:tc>
          <w:tcPr>
            <w:tcW w:type="dxa" w:w="1170"/>
            <w:vAlign w:val="center"/>
          </w:tcPr>
          <w:p>
            <w:r>
              <w:rPr>
                <w:rFonts w:ascii="Arial" w:hAnsi="Arial" w:eastAsia="Arial"/>
                <w:sz w:val="16"/>
              </w:rPr>
              <w:t>1.34</w:t>
            </w:r>
          </w:p>
        </w:tc>
        <w:tc>
          <w:tcPr>
            <w:tcW w:type="dxa" w:w="1170"/>
            <w:vAlign w:val="center"/>
          </w:tcPr>
          <w:p>
            <w:r>
              <w:rPr>
                <w:rFonts w:ascii="Arial" w:hAnsi="Arial" w:eastAsia="Arial"/>
                <w:sz w:val="16"/>
              </w:rPr>
              <w:t>1.30</w:t>
            </w:r>
          </w:p>
        </w:tc>
        <w:tc>
          <w:tcPr>
            <w:tcW w:type="dxa" w:w="1170"/>
            <w:vAlign w:val="center"/>
          </w:tcPr>
          <w:p>
            <w:r>
              <w:rPr>
                <w:rFonts w:ascii="Arial" w:hAnsi="Arial" w:eastAsia="Arial"/>
                <w:sz w:val="16"/>
              </w:rPr>
              <w:t>-0.04</w:t>
            </w:r>
          </w:p>
        </w:tc>
        <w:tc>
          <w:tcPr>
            <w:tcW w:type="dxa" w:w="1170"/>
            <w:vAlign w:val="center"/>
          </w:tcPr>
          <w:p>
            <w:r>
              <w:rPr>
                <w:rFonts w:ascii="Arial" w:hAnsi="Arial" w:eastAsia="Arial"/>
                <w:sz w:val="16"/>
              </w:rPr>
              <w:t>19.4%</w:t>
            </w:r>
          </w:p>
        </w:tc>
        <w:tc>
          <w:tcPr>
            <w:tcW w:type="dxa" w:w="1170"/>
            <w:vAlign w:val="center"/>
          </w:tcPr>
          <w:p>
            <w:r>
              <w:rPr>
                <w:rFonts w:ascii="Arial" w:hAnsi="Arial" w:eastAsia="Arial"/>
                <w:sz w:val="16"/>
              </w:rPr>
              <w:t>14.9%</w:t>
            </w:r>
          </w:p>
        </w:tc>
        <w:tc>
          <w:tcPr>
            <w:tcW w:type="dxa" w:w="1170"/>
            <w:vAlign w:val="center"/>
          </w:tcPr>
          <w:p>
            <w:r>
              <w:rPr>
                <w:rFonts w:ascii="Arial" w:hAnsi="Arial" w:eastAsia="Arial"/>
                <w:sz w:val="16"/>
              </w:rPr>
              <w:t>-18.2%</w:t>
            </w:r>
          </w:p>
        </w:tc>
        <w:tc>
          <w:tcPr>
            <w:tcW w:type="dxa" w:w="1170"/>
            <w:vAlign w:val="center"/>
          </w:tcPr>
          <w:p>
            <w:r>
              <w:rPr>
                <w:rFonts w:ascii="Arial" w:hAnsi="Arial" w:eastAsia="Arial"/>
                <w:sz w:val="16"/>
              </w:rPr>
              <w:t>59.3%</w:t>
            </w:r>
          </w:p>
        </w:tc>
      </w:tr>
    </w:tbl>
    <w:p>
      <w:pPr>
        <w:pStyle w:val="Heading1"/>
      </w:pPr>
      <w:r>
        <w:t>Prediction and Feedback Workflow</w:t>
      </w:r>
    </w:p>
    <w:p>
      <w:r>
        <w:t>Daily forecast generation: the backend loops through 15 models, two versions, and a one-trading-day horizon.</w:t>
      </w:r>
    </w:p>
    <w:p>
      <w:r>
        <w:t>Real-data input: forecasts use the latest available market history for each symbol plus SPY, QQQ, TLT, and VIX context.</w:t>
      </w:r>
    </w:p>
    <w:p>
      <w:r>
        <w:t>Real-data validation: once the due date is reached, the ledger looks for the first actual price on or after the due date and records actual return, hit/miss, and absolute error.</w:t>
      </w:r>
    </w:p>
    <w:p>
      <w:r>
        <w:t>Dashboard use: Version 3.5 and Version 4 should be compared in the same visual templates, with the selected version changing data rather than changing layout.</w:t>
      </w:r>
    </w:p>
    <w:p>
      <w:pPr>
        <w:pStyle w:val="Heading1"/>
      </w:pPr>
      <w:r>
        <w:t>Paper Interpretation</w:t>
      </w:r>
    </w:p>
    <w:p>
      <w:r>
        <w:t>Backtests answer whether a strategy would have worked historically under a walk-forward rule. Daily prediction feedback answers whether the current live forecasting rule is directionally useful after real market prices arrive. For the paper, the backtest table should be treated as historical evidence, while the daily feedback ledger should be treated as accumulating out-of-sample forward evidence.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