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D78"/>
          <w:sz w:val="46"/>
        </w:rPr>
        <w:t>RiskDesk Data Pipeline and Consistency Audit</w:t>
      </w:r>
    </w:p>
    <w:p>
      <w:r>
        <w:rPr>
          <w:i/>
          <w:sz w:val="22"/>
        </w:rPr>
        <w:t>Source alignment, timestamp integrity, and production-readiness findings | Prepared 18 August 2026</w:t>
      </w:r>
    </w:p>
    <w:p>
      <w:pPr>
        <w:pStyle w:val="Heading1"/>
      </w:pPr>
      <w:r>
        <w:t>1. Audit Question</w:t>
      </w:r>
    </w:p>
    <w:p>
      <w:r>
        <w:t>The dashboard contains historical backtests, current quotes, forward forecasts, macro indicators, ETF risk factors, and research news. This audit identifies where the same label can represent different data paths, dates, or price conventions.</w:t>
      </w:r>
    </w:p>
    <w:p>
      <w:pPr>
        <w:pStyle w:val="Heading1"/>
      </w:pPr>
      <w:r>
        <w:t>2. Data Layers Found</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2088"/>
            <w:shd w:fill="E8EEF5"/>
            <w:vAlign w:val="center"/>
            <w:tcMar>
              <w:top w:w="80" w:type="dxa"/>
              <w:start w:w="120" w:type="dxa"/>
              <w:bottom w:w="80" w:type="dxa"/>
              <w:end w:w="120" w:type="dxa"/>
            </w:tcMar>
          </w:tcPr>
          <w:p>
            <w:r>
              <w:rPr>
                <w:b/>
              </w:rPr>
              <w:t>Layer</w:t>
            </w:r>
          </w:p>
        </w:tc>
        <w:tc>
          <w:tcPr>
            <w:tcW w:type="dxa" w:w="4320"/>
            <w:shd w:fill="E8EEF5"/>
            <w:vAlign w:val="center"/>
            <w:tcMar>
              <w:top w:w="80" w:type="dxa"/>
              <w:start w:w="120" w:type="dxa"/>
              <w:bottom w:w="80" w:type="dxa"/>
              <w:end w:w="120" w:type="dxa"/>
            </w:tcMar>
          </w:tcPr>
          <w:p>
            <w:r>
              <w:rPr>
                <w:b/>
              </w:rPr>
              <w:t>Current implementation</w:t>
            </w:r>
          </w:p>
        </w:tc>
        <w:tc>
          <w:tcPr>
            <w:tcW w:type="dxa" w:w="2880"/>
            <w:shd w:fill="E8EEF5"/>
            <w:vAlign w:val="center"/>
            <w:tcMar>
              <w:top w:w="80" w:type="dxa"/>
              <w:start w:w="120" w:type="dxa"/>
              <w:bottom w:w="80" w:type="dxa"/>
              <w:end w:w="120" w:type="dxa"/>
            </w:tcMar>
          </w:tcPr>
          <w:p>
            <w:r>
              <w:rPr>
                <w:b/>
              </w:rPr>
              <w:t>Audit implication</w:t>
            </w:r>
          </w:p>
        </w:tc>
      </w:tr>
      <w:tr>
        <w:tc>
          <w:tcPr>
            <w:tcW w:type="dxa" w:w="2088"/>
            <w:vAlign w:val="center"/>
            <w:tcMar>
              <w:top w:w="80" w:type="dxa"/>
              <w:start w:w="120" w:type="dxa"/>
              <w:bottom w:w="80" w:type="dxa"/>
              <w:end w:w="120" w:type="dxa"/>
            </w:tcMar>
          </w:tcPr>
          <w:p>
            <w:r>
              <w:t>Embedded market snapshot</w:t>
            </w:r>
          </w:p>
        </w:tc>
        <w:tc>
          <w:tcPr>
            <w:tcW w:type="dxa" w:w="4320"/>
            <w:vAlign w:val="center"/>
            <w:tcMar>
              <w:top w:w="80" w:type="dxa"/>
              <w:start w:w="120" w:type="dxa"/>
              <w:bottom w:w="80" w:type="dxa"/>
              <w:end w:w="120" w:type="dxa"/>
            </w:tcMar>
          </w:tcPr>
          <w:p>
            <w:r>
              <w:t>EODHD-labelled snapshot generated 2026-07-23; most stock data is dated 2026-07-21 and ETF data 2026-07-22.</w:t>
            </w:r>
          </w:p>
        </w:tc>
        <w:tc>
          <w:tcPr>
            <w:tcW w:type="dxa" w:w="2880"/>
            <w:vAlign w:val="center"/>
            <w:tcMar>
              <w:top w:w="80" w:type="dxa"/>
              <w:start w:w="120" w:type="dxa"/>
              <w:bottom w:w="80" w:type="dxa"/>
              <w:end w:w="120" w:type="dxa"/>
            </w:tcMar>
          </w:tcPr>
          <w:p>
            <w:r>
              <w:t>Useful historical display/fallback, but stale relative to current runtime.</w:t>
            </w:r>
          </w:p>
        </w:tc>
      </w:tr>
      <w:tr>
        <w:tc>
          <w:tcPr>
            <w:tcW w:type="dxa" w:w="2088"/>
            <w:vAlign w:val="center"/>
            <w:tcMar>
              <w:top w:w="80" w:type="dxa"/>
              <w:start w:w="120" w:type="dxa"/>
              <w:bottom w:w="80" w:type="dxa"/>
              <w:end w:w="120" w:type="dxa"/>
            </w:tcMar>
          </w:tcPr>
          <w:p>
            <w:r>
              <w:t>Quote endpoint</w:t>
            </w:r>
          </w:p>
        </w:tc>
        <w:tc>
          <w:tcPr>
            <w:tcW w:type="dxa" w:w="4320"/>
            <w:vAlign w:val="center"/>
            <w:tcMar>
              <w:top w:w="80" w:type="dxa"/>
              <w:start w:w="120" w:type="dxa"/>
              <w:bottom w:w="80" w:type="dxa"/>
              <w:end w:w="120" w:type="dxa"/>
            </w:tcMar>
          </w:tcPr>
          <w:p>
            <w:r>
              <w:t>Yahoo Finance chart API; current quote responses carry the latest available market close timestamp.</w:t>
            </w:r>
          </w:p>
        </w:tc>
        <w:tc>
          <w:tcPr>
            <w:tcW w:type="dxa" w:w="2880"/>
            <w:vAlign w:val="center"/>
            <w:tcMar>
              <w:top w:w="80" w:type="dxa"/>
              <w:start w:w="120" w:type="dxa"/>
              <w:bottom w:w="80" w:type="dxa"/>
              <w:end w:w="120" w:type="dxa"/>
            </w:tcMar>
          </w:tcPr>
          <w:p>
            <w:r>
              <w:t>Fresh API response, but not necessarily intraday data when the market is closed.</w:t>
            </w:r>
          </w:p>
        </w:tc>
      </w:tr>
      <w:tr>
        <w:tc>
          <w:tcPr>
            <w:tcW w:type="dxa" w:w="2088"/>
            <w:vAlign w:val="center"/>
            <w:tcMar>
              <w:top w:w="80" w:type="dxa"/>
              <w:start w:w="120" w:type="dxa"/>
              <w:bottom w:w="80" w:type="dxa"/>
              <w:end w:w="120" w:type="dxa"/>
            </w:tcMar>
          </w:tcPr>
          <w:p>
            <w:r>
              <w:t>Automation history</w:t>
            </w:r>
          </w:p>
        </w:tc>
        <w:tc>
          <w:tcPr>
            <w:tcW w:type="dxa" w:w="4320"/>
            <w:vAlign w:val="center"/>
            <w:tcMar>
              <w:top w:w="80" w:type="dxa"/>
              <w:start w:w="120" w:type="dxa"/>
              <w:bottom w:w="80" w:type="dxa"/>
              <w:end w:w="120" w:type="dxa"/>
            </w:tcMar>
          </w:tcPr>
          <w:p>
            <w:r>
              <w:t>The automation path calls Yahoo chart history first and falls back to the embedded snapshot.</w:t>
            </w:r>
          </w:p>
        </w:tc>
        <w:tc>
          <w:tcPr>
            <w:tcW w:type="dxa" w:w="2880"/>
            <w:vAlign w:val="center"/>
            <w:tcMar>
              <w:top w:w="80" w:type="dxa"/>
              <w:start w:w="120" w:type="dxa"/>
              <w:bottom w:w="80" w:type="dxa"/>
              <w:end w:w="120" w:type="dxa"/>
            </w:tcMar>
          </w:tcPr>
          <w:p>
            <w:r>
              <w:t>Live forecasts are not currently guaranteed to use the same EODHD long-history source as the backtest cache.</w:t>
            </w:r>
          </w:p>
        </w:tc>
      </w:tr>
      <w:tr>
        <w:tc>
          <w:tcPr>
            <w:tcW w:type="dxa" w:w="2088"/>
            <w:vAlign w:val="center"/>
            <w:tcMar>
              <w:top w:w="80" w:type="dxa"/>
              <w:start w:w="120" w:type="dxa"/>
              <w:bottom w:w="80" w:type="dxa"/>
              <w:end w:w="120" w:type="dxa"/>
            </w:tcMar>
          </w:tcPr>
          <w:p>
            <w:r>
              <w:t>EODHD history function</w:t>
            </w:r>
          </w:p>
        </w:tc>
        <w:tc>
          <w:tcPr>
            <w:tcW w:type="dxa" w:w="4320"/>
            <w:vAlign w:val="center"/>
            <w:tcMar>
              <w:top w:w="80" w:type="dxa"/>
              <w:start w:w="120" w:type="dxa"/>
              <w:bottom w:w="80" w:type="dxa"/>
              <w:end w:w="120" w:type="dxa"/>
            </w:tcMar>
          </w:tcPr>
          <w:p>
            <w:r>
              <w:t>An EODHD history endpoint exists and requires the EODHD environment variable.</w:t>
            </w:r>
          </w:p>
        </w:tc>
        <w:tc>
          <w:tcPr>
            <w:tcW w:type="dxa" w:w="2880"/>
            <w:vAlign w:val="center"/>
            <w:tcMar>
              <w:top w:w="80" w:type="dxa"/>
              <w:start w:w="120" w:type="dxa"/>
              <w:bottom w:w="80" w:type="dxa"/>
              <w:end w:w="120" w:type="dxa"/>
            </w:tcMar>
          </w:tcPr>
          <w:p>
            <w:r>
              <w:t>The endpoint is available but is not the canonical automation history path yet.</w:t>
            </w:r>
          </w:p>
        </w:tc>
      </w:tr>
      <w:tr>
        <w:tc>
          <w:tcPr>
            <w:tcW w:type="dxa" w:w="2088"/>
            <w:vAlign w:val="center"/>
            <w:tcMar>
              <w:top w:w="80" w:type="dxa"/>
              <w:start w:w="120" w:type="dxa"/>
              <w:bottom w:w="80" w:type="dxa"/>
              <w:end w:w="120" w:type="dxa"/>
            </w:tcMar>
          </w:tcPr>
          <w:p>
            <w:r>
              <w:t>Macro cache</w:t>
            </w:r>
          </w:p>
        </w:tc>
        <w:tc>
          <w:tcPr>
            <w:tcW w:type="dxa" w:w="4320"/>
            <w:vAlign w:val="center"/>
            <w:tcMar>
              <w:top w:w="80" w:type="dxa"/>
              <w:start w:w="120" w:type="dxa"/>
              <w:bottom w:w="80" w:type="dxa"/>
              <w:end w:w="120" w:type="dxa"/>
            </w:tcMar>
          </w:tcPr>
          <w:p>
            <w:r>
              <w:t>Snapshot includes Treasury 10Y, Fed Funds, VIX, and high-yield spread fields.</w:t>
            </w:r>
          </w:p>
        </w:tc>
        <w:tc>
          <w:tcPr>
            <w:tcW w:type="dxa" w:w="2880"/>
            <w:vAlign w:val="center"/>
            <w:tcMar>
              <w:top w:w="80" w:type="dxa"/>
              <w:start w:w="120" w:type="dxa"/>
              <w:bottom w:w="80" w:type="dxa"/>
              <w:end w:w="120" w:type="dxa"/>
            </w:tcMar>
          </w:tcPr>
          <w:p>
            <w:r>
              <w:t>Displayed macro values are not identical to the four-series market-context formula.</w:t>
            </w:r>
          </w:p>
        </w:tc>
      </w:tr>
      <w:tr>
        <w:tc>
          <w:tcPr>
            <w:tcW w:type="dxa" w:w="2088"/>
            <w:vAlign w:val="center"/>
            <w:tcMar>
              <w:top w:w="80" w:type="dxa"/>
              <w:start w:w="120" w:type="dxa"/>
              <w:bottom w:w="80" w:type="dxa"/>
              <w:end w:w="120" w:type="dxa"/>
            </w:tcMar>
          </w:tcPr>
          <w:p>
            <w:r>
              <w:t>Research news</w:t>
            </w:r>
          </w:p>
        </w:tc>
        <w:tc>
          <w:tcPr>
            <w:tcW w:type="dxa" w:w="4320"/>
            <w:vAlign w:val="center"/>
            <w:tcMar>
              <w:top w:w="80" w:type="dxa"/>
              <w:start w:w="120" w:type="dxa"/>
              <w:bottom w:w="80" w:type="dxa"/>
              <w:end w:w="120" w:type="dxa"/>
            </w:tcMar>
          </w:tcPr>
          <w:p>
            <w:r>
              <w:t>Yahoo Finance RSS live evidence with per-item score fields.</w:t>
            </w:r>
          </w:p>
        </w:tc>
        <w:tc>
          <w:tcPr>
            <w:tcW w:type="dxa" w:w="2880"/>
            <w:vAlign w:val="center"/>
            <w:tcMar>
              <w:top w:w="80" w:type="dxa"/>
              <w:start w:w="120" w:type="dxa"/>
              <w:bottom w:w="80" w:type="dxa"/>
              <w:end w:w="120" w:type="dxa"/>
            </w:tcMar>
          </w:tcPr>
          <w:p>
            <w:r>
              <w:t>No timestamped historical news archive for a full news backtest.</w:t>
            </w:r>
          </w:p>
        </w:tc>
      </w:tr>
    </w:tbl>
    <w:p>
      <w:pPr>
        <w:spacing w:after="40"/>
      </w:pPr>
    </w:p>
    <w:p>
      <w:pPr>
        <w:pStyle w:val="Heading1"/>
      </w:pPr>
      <w:r>
        <w:t>3. Consistency Findings</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3671"/>
            <w:shd w:fill="E8EEF5"/>
            <w:vAlign w:val="center"/>
            <w:tcMar>
              <w:top w:w="80" w:type="dxa"/>
              <w:start w:w="120" w:type="dxa"/>
              <w:bottom w:w="80" w:type="dxa"/>
              <w:end w:w="120" w:type="dxa"/>
            </w:tcMar>
          </w:tcPr>
          <w:p>
            <w:r>
              <w:rPr>
                <w:b/>
              </w:rPr>
              <w:t>Finding</w:t>
            </w:r>
          </w:p>
        </w:tc>
        <w:tc>
          <w:tcPr>
            <w:tcW w:type="dxa" w:w="1152"/>
            <w:shd w:fill="E8EEF5"/>
            <w:vAlign w:val="center"/>
            <w:tcMar>
              <w:top w:w="80" w:type="dxa"/>
              <w:start w:w="120" w:type="dxa"/>
              <w:bottom w:w="80" w:type="dxa"/>
              <w:end w:w="120" w:type="dxa"/>
            </w:tcMar>
          </w:tcPr>
          <w:p>
            <w:r>
              <w:rPr>
                <w:b/>
              </w:rPr>
              <w:t>Severity</w:t>
            </w:r>
          </w:p>
        </w:tc>
        <w:tc>
          <w:tcPr>
            <w:tcW w:type="dxa" w:w="4464"/>
            <w:shd w:fill="E8EEF5"/>
            <w:vAlign w:val="center"/>
            <w:tcMar>
              <w:top w:w="80" w:type="dxa"/>
              <w:start w:w="120" w:type="dxa"/>
              <w:bottom w:w="80" w:type="dxa"/>
              <w:end w:w="120" w:type="dxa"/>
            </w:tcMar>
          </w:tcPr>
          <w:p>
            <w:r>
              <w:rPr>
                <w:b/>
              </w:rPr>
              <w:t>Why it matters</w:t>
            </w:r>
          </w:p>
        </w:tc>
      </w:tr>
      <w:tr>
        <w:tc>
          <w:tcPr>
            <w:tcW w:type="dxa" w:w="3671"/>
            <w:vAlign w:val="center"/>
            <w:tcMar>
              <w:top w:w="80" w:type="dxa"/>
              <w:start w:w="120" w:type="dxa"/>
              <w:bottom w:w="80" w:type="dxa"/>
              <w:end w:w="120" w:type="dxa"/>
            </w:tcMar>
          </w:tcPr>
          <w:p>
            <w:r>
              <w:t>Embedded snapshot date differs from live quote date</w:t>
            </w:r>
          </w:p>
        </w:tc>
        <w:tc>
          <w:tcPr>
            <w:tcW w:type="dxa" w:w="1152"/>
            <w:vAlign w:val="center"/>
            <w:tcMar>
              <w:top w:w="80" w:type="dxa"/>
              <w:start w:w="120" w:type="dxa"/>
              <w:bottom w:w="80" w:type="dxa"/>
              <w:end w:w="120" w:type="dxa"/>
            </w:tcMar>
          </w:tcPr>
          <w:p>
            <w:r>
              <w:t>High</w:t>
            </w:r>
          </w:p>
        </w:tc>
        <w:tc>
          <w:tcPr>
            <w:tcW w:type="dxa" w:w="4464"/>
            <w:vAlign w:val="center"/>
            <w:tcMar>
              <w:top w:w="80" w:type="dxa"/>
              <w:start w:w="120" w:type="dxa"/>
              <w:bottom w:w="80" w:type="dxa"/>
              <w:end w:w="120" w:type="dxa"/>
            </w:tcMar>
          </w:tcPr>
          <w:p>
            <w:r>
              <w:t>The universe table and live quote panels can show different prices for the same symbol.</w:t>
            </w:r>
          </w:p>
        </w:tc>
      </w:tr>
      <w:tr>
        <w:tc>
          <w:tcPr>
            <w:tcW w:type="dxa" w:w="3671"/>
            <w:vAlign w:val="center"/>
            <w:tcMar>
              <w:top w:w="80" w:type="dxa"/>
              <w:start w:w="120" w:type="dxa"/>
              <w:bottom w:w="80" w:type="dxa"/>
              <w:end w:w="120" w:type="dxa"/>
            </w:tcMar>
          </w:tcPr>
          <w:p>
            <w:r>
              <w:t>Backtest long-history label versus Yahoo one-year automation history</w:t>
            </w:r>
          </w:p>
        </w:tc>
        <w:tc>
          <w:tcPr>
            <w:tcW w:type="dxa" w:w="1152"/>
            <w:vAlign w:val="center"/>
            <w:tcMar>
              <w:top w:w="80" w:type="dxa"/>
              <w:start w:w="120" w:type="dxa"/>
              <w:bottom w:w="80" w:type="dxa"/>
              <w:end w:w="120" w:type="dxa"/>
            </w:tcMar>
          </w:tcPr>
          <w:p>
            <w:r>
              <w:t>High</w:t>
            </w:r>
          </w:p>
        </w:tc>
        <w:tc>
          <w:tcPr>
            <w:tcW w:type="dxa" w:w="4464"/>
            <w:vAlign w:val="center"/>
            <w:tcMar>
              <w:top w:w="80" w:type="dxa"/>
              <w:start w:w="120" w:type="dxa"/>
              <w:bottom w:w="80" w:type="dxa"/>
              <w:end w:w="120" w:type="dxa"/>
            </w:tcMar>
          </w:tcPr>
          <w:p>
            <w:r>
              <w:t>Backtest and forward prediction are not guaranteed to use the same information set.</w:t>
            </w:r>
          </w:p>
        </w:tc>
      </w:tr>
      <w:tr>
        <w:tc>
          <w:tcPr>
            <w:tcW w:type="dxa" w:w="3671"/>
            <w:vAlign w:val="center"/>
            <w:tcMar>
              <w:top w:w="80" w:type="dxa"/>
              <w:start w:w="120" w:type="dxa"/>
              <w:bottom w:w="80" w:type="dxa"/>
              <w:end w:w="120" w:type="dxa"/>
            </w:tcMar>
          </w:tcPr>
          <w:p>
            <w:r>
              <w:t>Macro fields displayed but not fully used in market context</w:t>
            </w:r>
          </w:p>
        </w:tc>
        <w:tc>
          <w:tcPr>
            <w:tcW w:type="dxa" w:w="1152"/>
            <w:vAlign w:val="center"/>
            <w:tcMar>
              <w:top w:w="80" w:type="dxa"/>
              <w:start w:w="120" w:type="dxa"/>
              <w:bottom w:w="80" w:type="dxa"/>
              <w:end w:w="120" w:type="dxa"/>
            </w:tcMar>
          </w:tcPr>
          <w:p>
            <w:r>
              <w:t>Medium</w:t>
            </w:r>
          </w:p>
        </w:tc>
        <w:tc>
          <w:tcPr>
            <w:tcW w:type="dxa" w:w="4464"/>
            <w:vAlign w:val="center"/>
            <w:tcMar>
              <w:top w:w="80" w:type="dxa"/>
              <w:start w:w="120" w:type="dxa"/>
              <w:bottom w:w="80" w:type="dxa"/>
              <w:end w:w="120" w:type="dxa"/>
            </w:tcMar>
          </w:tcPr>
          <w:p>
            <w:r>
              <w:t>A reader may assume the model uses rates and credit spread data when the current formula mainly uses SPY, QQQ, TLT, and VIX changes.</w:t>
            </w:r>
          </w:p>
        </w:tc>
      </w:tr>
      <w:tr>
        <w:tc>
          <w:tcPr>
            <w:tcW w:type="dxa" w:w="3671"/>
            <w:vAlign w:val="center"/>
            <w:tcMar>
              <w:top w:w="80" w:type="dxa"/>
              <w:start w:w="120" w:type="dxa"/>
              <w:bottom w:w="80" w:type="dxa"/>
              <w:end w:w="120" w:type="dxa"/>
            </w:tcMar>
          </w:tcPr>
          <w:p>
            <w:r>
              <w:t>26 ETF risk factors are listed but not all feed the regime formula</w:t>
            </w:r>
          </w:p>
        </w:tc>
        <w:tc>
          <w:tcPr>
            <w:tcW w:type="dxa" w:w="1152"/>
            <w:vAlign w:val="center"/>
            <w:tcMar>
              <w:top w:w="80" w:type="dxa"/>
              <w:start w:w="120" w:type="dxa"/>
              <w:bottom w:w="80" w:type="dxa"/>
              <w:end w:w="120" w:type="dxa"/>
            </w:tcMar>
          </w:tcPr>
          <w:p>
            <w:r>
              <w:t>Medium</w:t>
            </w:r>
          </w:p>
        </w:tc>
        <w:tc>
          <w:tcPr>
            <w:tcW w:type="dxa" w:w="4464"/>
            <w:vAlign w:val="center"/>
            <w:tcMar>
              <w:top w:w="80" w:type="dxa"/>
              <w:start w:w="120" w:type="dxa"/>
              <w:bottom w:w="80" w:type="dxa"/>
              <w:end w:w="120" w:type="dxa"/>
            </w:tcMar>
          </w:tcPr>
          <w:p>
            <w:r>
              <w:t>Universe size and model-input size are different concepts.</w:t>
            </w:r>
          </w:p>
        </w:tc>
      </w:tr>
      <w:tr>
        <w:tc>
          <w:tcPr>
            <w:tcW w:type="dxa" w:w="3671"/>
            <w:vAlign w:val="center"/>
            <w:tcMar>
              <w:top w:w="80" w:type="dxa"/>
              <w:start w:w="120" w:type="dxa"/>
              <w:bottom w:w="80" w:type="dxa"/>
              <w:end w:w="120" w:type="dxa"/>
            </w:tcMar>
          </w:tcPr>
          <w:p>
            <w:r>
              <w:t>Adjusted historical points versus regular market quote fields</w:t>
            </w:r>
          </w:p>
        </w:tc>
        <w:tc>
          <w:tcPr>
            <w:tcW w:type="dxa" w:w="1152"/>
            <w:vAlign w:val="center"/>
            <w:tcMar>
              <w:top w:w="80" w:type="dxa"/>
              <w:start w:w="120" w:type="dxa"/>
              <w:bottom w:w="80" w:type="dxa"/>
              <w:end w:w="120" w:type="dxa"/>
            </w:tcMar>
          </w:tcPr>
          <w:p>
            <w:r>
              <w:t>Medium</w:t>
            </w:r>
          </w:p>
        </w:tc>
        <w:tc>
          <w:tcPr>
            <w:tcW w:type="dxa" w:w="4464"/>
            <w:vAlign w:val="center"/>
            <w:tcMar>
              <w:top w:w="80" w:type="dxa"/>
              <w:start w:w="120" w:type="dxa"/>
              <w:bottom w:w="80" w:type="dxa"/>
              <w:end w:w="120" w:type="dxa"/>
            </w:tcMar>
          </w:tcPr>
          <w:p>
            <w:r>
              <w:t>Corporate actions can create apparent price differences unless the convention is recorded explicitly.</w:t>
            </w:r>
          </w:p>
        </w:tc>
      </w:tr>
      <w:tr>
        <w:tc>
          <w:tcPr>
            <w:tcW w:type="dxa" w:w="3671"/>
            <w:vAlign w:val="center"/>
            <w:tcMar>
              <w:top w:w="80" w:type="dxa"/>
              <w:start w:w="120" w:type="dxa"/>
              <w:bottom w:w="80" w:type="dxa"/>
              <w:end w:w="120" w:type="dxa"/>
            </w:tcMar>
          </w:tcPr>
          <w:p>
            <w:r>
              <w:t>Live RSS evidence without historical replay</w:t>
            </w:r>
          </w:p>
        </w:tc>
        <w:tc>
          <w:tcPr>
            <w:tcW w:type="dxa" w:w="1152"/>
            <w:vAlign w:val="center"/>
            <w:tcMar>
              <w:top w:w="80" w:type="dxa"/>
              <w:start w:w="120" w:type="dxa"/>
              <w:bottom w:w="80" w:type="dxa"/>
              <w:end w:w="120" w:type="dxa"/>
            </w:tcMar>
          </w:tcPr>
          <w:p>
            <w:r>
              <w:t>High</w:t>
            </w:r>
          </w:p>
        </w:tc>
        <w:tc>
          <w:tcPr>
            <w:tcW w:type="dxa" w:w="4464"/>
            <w:vAlign w:val="center"/>
            <w:tcMar>
              <w:top w:w="80" w:type="dxa"/>
              <w:start w:w="120" w:type="dxa"/>
              <w:bottom w:w="80" w:type="dxa"/>
              <w:end w:w="120" w:type="dxa"/>
            </w:tcMar>
          </w:tcPr>
          <w:p>
            <w:r>
              <w:t>The news overlay cannot be fairly backtested without point-in-time news data.</w:t>
            </w:r>
          </w:p>
        </w:tc>
      </w:tr>
      <w:tr>
        <w:tc>
          <w:tcPr>
            <w:tcW w:type="dxa" w:w="3671"/>
            <w:vAlign w:val="center"/>
            <w:tcMar>
              <w:top w:w="80" w:type="dxa"/>
              <w:start w:w="120" w:type="dxa"/>
              <w:bottom w:w="80" w:type="dxa"/>
              <w:end w:w="120" w:type="dxa"/>
            </w:tcMar>
          </w:tcPr>
          <w:p>
            <w:r>
              <w:t>500-stock candidate pool versus daily holdings rows</w:t>
            </w:r>
          </w:p>
        </w:tc>
        <w:tc>
          <w:tcPr>
            <w:tcW w:type="dxa" w:w="1152"/>
            <w:vAlign w:val="center"/>
            <w:tcMar>
              <w:top w:w="80" w:type="dxa"/>
              <w:start w:w="120" w:type="dxa"/>
              <w:bottom w:w="80" w:type="dxa"/>
              <w:end w:w="120" w:type="dxa"/>
            </w:tcMar>
          </w:tcPr>
          <w:p>
            <w:r>
              <w:t>Medium</w:t>
            </w:r>
          </w:p>
        </w:tc>
        <w:tc>
          <w:tcPr>
            <w:tcW w:type="dxa" w:w="4464"/>
            <w:vAlign w:val="center"/>
            <w:tcMar>
              <w:top w:w="80" w:type="dxa"/>
              <w:start w:w="120" w:type="dxa"/>
              <w:bottom w:w="80" w:type="dxa"/>
              <w:end w:w="120" w:type="dxa"/>
            </w:tcMar>
          </w:tcPr>
          <w:p>
            <w:r>
              <w:t>The dashboard must distinguish investable universe size from the number of actual forecasts generated.</w:t>
            </w:r>
          </w:p>
        </w:tc>
      </w:tr>
      <w:tr>
        <w:tc>
          <w:tcPr>
            <w:tcW w:type="dxa" w:w="3671"/>
            <w:vAlign w:val="center"/>
            <w:tcMar>
              <w:top w:w="80" w:type="dxa"/>
              <w:start w:w="120" w:type="dxa"/>
              <w:bottom w:w="80" w:type="dxa"/>
              <w:end w:w="120" w:type="dxa"/>
            </w:tcMar>
          </w:tcPr>
          <w:p>
            <w:r>
              <w:t>One-day horizon with scheduled automation status</w:t>
            </w:r>
          </w:p>
        </w:tc>
        <w:tc>
          <w:tcPr>
            <w:tcW w:type="dxa" w:w="1152"/>
            <w:vAlign w:val="center"/>
            <w:tcMar>
              <w:top w:w="80" w:type="dxa"/>
              <w:start w:w="120" w:type="dxa"/>
              <w:bottom w:w="80" w:type="dxa"/>
              <w:end w:w="120" w:type="dxa"/>
            </w:tcMar>
          </w:tcPr>
          <w:p>
            <w:r>
              <w:t>Medium</w:t>
            </w:r>
          </w:p>
        </w:tc>
        <w:tc>
          <w:tcPr>
            <w:tcW w:type="dxa" w:w="4464"/>
            <w:vAlign w:val="center"/>
            <w:tcMar>
              <w:top w:w="80" w:type="dxa"/>
              <w:start w:w="120" w:type="dxa"/>
              <w:bottom w:w="80" w:type="dxa"/>
              <w:end w:w="120" w:type="dxa"/>
            </w:tcMar>
          </w:tcPr>
          <w:p>
            <w:r>
              <w:t>The runtime schedule and the prediction horizon should be stated separately and reconciled.</w:t>
            </w:r>
          </w:p>
        </w:tc>
      </w:tr>
    </w:tbl>
    <w:p>
      <w:pPr>
        <w:spacing w:after="40"/>
      </w:pPr>
    </w:p>
    <w:p>
      <w:pPr>
        <w:pStyle w:val="Heading1"/>
      </w:pPr>
      <w:r>
        <w:t>4. Recommended Repair Design</w:t>
      </w:r>
    </w:p>
    <w:p>
      <w:pPr>
        <w:pStyle w:val="ListNumber"/>
      </w:pPr>
      <w:r>
        <w:t>Choose one canonical adjusted daily history source for backtest and daily forecast. Use Yahoo only as an explicit fallback and record the fallback flag.</w:t>
      </w:r>
    </w:p>
    <w:p>
      <w:pPr>
        <w:pStyle w:val="ListNumber"/>
      </w:pPr>
      <w:r>
        <w:t>Add dataProvider, dataAsOf, adjustedPriceConvention, historyLength, and isFallback to every forecast and quote record.</w:t>
      </w:r>
    </w:p>
    <w:p>
      <w:pPr>
        <w:pStyle w:val="ListNumber"/>
      </w:pPr>
      <w:r>
        <w:t>Either feed the cached macro fields into the market-context calculation or label them as display-only fields.</w:t>
      </w:r>
    </w:p>
    <w:p>
      <w:pPr>
        <w:pStyle w:val="ListNumber"/>
      </w:pPr>
      <w:r>
        <w:t>Record the exact ETF factors used by each strategy and separate candidate universe, risk-factor universe, and actual holdings.</w:t>
      </w:r>
    </w:p>
    <w:p>
      <w:pPr>
        <w:pStyle w:val="ListNumber"/>
      </w:pPr>
      <w:r>
        <w:t>Archive news items with publication time and prohibit any evidence published after the forecast timestamp from entering a historical replay.</w:t>
      </w:r>
    </w:p>
    <w:p>
      <w:pPr>
        <w:pStyle w:val="ListNumber"/>
      </w:pPr>
      <w:r>
        <w:t>Keep the current V3.5, V4, and V4.5 ledgers unchanged while running the repaired data path as a shadow experiment.</w:t>
      </w:r>
    </w:p>
    <w:p>
      <w:pPr>
        <w:pStyle w:val="Heading1"/>
      </w:pPr>
      <w:r>
        <w:t>5. Acceptance Tests</w:t>
      </w:r>
    </w:p>
    <w:p>
      <w:pPr>
        <w:pStyle w:val="ListBullet"/>
      </w:pPr>
      <w:r>
        <w:t>[ ] For one symbol, the same as-of date and adjusted-price convention are visible in the backtest, forecast, and feedback records.</w:t>
      </w:r>
    </w:p>
    <w:p>
      <w:pPr>
        <w:pStyle w:val="ListBullet"/>
      </w:pPr>
      <w:r>
        <w:t>[ ] A failed primary data call visibly records fallback rather than silently changing the data source.</w:t>
      </w:r>
    </w:p>
    <w:p>
      <w:pPr>
        <w:pStyle w:val="ListBullet"/>
      </w:pPr>
      <w:r>
        <w:t>[ ] The model-input report lists the actual ETF and macro variables used by each strategy.</w:t>
      </w:r>
    </w:p>
    <w:p>
      <w:pPr>
        <w:pStyle w:val="ListBullet"/>
      </w:pPr>
      <w:r>
        <w:t>[ ] A historical research replay can reconstruct the information available at the forecast timestamp.</w:t>
      </w:r>
    </w:p>
    <w:p>
      <w:pPr>
        <w:pStyle w:val="ListBullet"/>
      </w:pPr>
      <w:r>
        <w:t>[ ] The dashboard distinguishes current API data, embedded snapshot data, and historical backtest data.</w:t>
      </w:r>
    </w:p>
    <w:p>
      <w:pPr>
        <w:pStyle w:val="Heading1"/>
      </w:pPr>
      <w:r>
        <w:t>6. Evidence Files</w:t>
      </w:r>
    </w:p>
    <w:p>
      <w:pPr>
        <w:pStyle w:val="ListBullet"/>
      </w:pPr>
      <w:r>
        <w:t>data/public-market-snapshot.json</w:t>
      </w:r>
    </w:p>
    <w:p>
      <w:pPr>
        <w:pStyle w:val="ListBullet"/>
      </w:pPr>
      <w:r>
        <w:t>data/global-500-universe.json</w:t>
      </w:r>
    </w:p>
    <w:p>
      <w:pPr>
        <w:pStyle w:val="ListBullet"/>
      </w:pPr>
      <w:r>
        <w:t>netlify/functions/_automation-core.js</w:t>
      </w:r>
    </w:p>
    <w:p>
      <w:pPr>
        <w:pStyle w:val="ListBullet"/>
      </w:pPr>
      <w:r>
        <w:t>netlify/functions/_riskdesk-common.js</w:t>
      </w:r>
    </w:p>
    <w:p>
      <w:pPr>
        <w:pStyle w:val="ListBullet"/>
      </w:pPr>
      <w:r>
        <w:t>netlify/functions/eodhd-history.js</w:t>
      </w:r>
    </w:p>
    <w:p>
      <w:pPr>
        <w:pStyle w:val="ListBullet"/>
      </w:pPr>
      <w:r>
        <w:t>netlify/functions/quotes.js</w:t>
      </w:r>
    </w:p>
    <w:p>
      <w:pPr>
        <w:pStyle w:val="ListBullet"/>
      </w:pPr>
      <w:r>
        <w:t>netlify/functions/research-signals.js</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RiskDesk research record | 2026-08-18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