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D78"/>
          <w:sz w:val="46"/>
        </w:rPr>
        <w:t>V5 Experimental Research Log</w:t>
      </w:r>
    </w:p>
    <w:p>
      <w:r>
        <w:rPr>
          <w:i/>
          <w:sz w:val="22"/>
        </w:rPr>
        <w:t>Confidence calibration, factor training, ML benchmarks, and research overlay pilots | Prepared 18 August 2026</w:t>
      </w:r>
    </w:p>
    <w:p>
      <w:pPr>
        <w:pStyle w:val="Heading1"/>
      </w:pPr>
      <w:r>
        <w:t>1. Status</w:t>
      </w:r>
    </w:p>
    <w:p>
      <w:r>
        <w:t>V5 is an experimental research direction, not a production replacement for V3.5, V4, or V4.5. The experiments were intentionally run on small or medium samples to screen ideas before committing to a full historical implementation.</w:t>
      </w:r>
    </w:p>
    <w:p>
      <w:pPr>
        <w:pStyle w:val="Heading1"/>
      </w:pPr>
      <w:r>
        <w:t>2. Factor-Parameter Training Pilot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367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Baseline test Sharpe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Trained test Sharpe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Test hit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 Boosted Trees + Attribution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0.843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0.845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60.38%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Hold for more validation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V2 HMM-GARCH-MVO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1.087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1.091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58.49%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Hold for more validation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S5 Regime-Switch Equity Hedge+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1.106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1.109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60.38%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Hold for more validation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S12 Adaptive Volatility Compounder+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1.058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1.020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60.38%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Did not improve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S3 Crowding-Aware Momentum+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1.086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1.007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67.92%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Did not improve risk-adjusted result</w:t>
            </w:r>
          </w:p>
        </w:tc>
      </w:tr>
    </w:tbl>
    <w:p>
      <w:pPr>
        <w:spacing w:after="40"/>
      </w:pPr>
    </w:p>
    <w:p>
      <w:r>
        <w:t>The parameter-training result is intentionally conservative: small Sharpe changes are not sufficient evidence for a production upgrade, especially when the bootstrap intervals are wide and the model implementations are factor-score approximations.</w:t>
      </w:r>
    </w:p>
    <w:p>
      <w:pPr>
        <w:pStyle w:val="Heading1"/>
      </w:pPr>
      <w:r>
        <w:t>3. Larger Small-Sample Screening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Sample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Base Sharpe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V5 Sharpe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Prediction base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Prediction V5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S8 Trend-Guarded Reversion+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350 symbols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0.749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0.982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44.6%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62.2%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Advance to larger sample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S11 Tail-Risk Shock Absorber+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350 symbols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0.957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0.891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53.0%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62.0%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Reject for now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S12 Adaptive Volatility Compounder+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350 symbols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1.303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1.291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51.1%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53.3%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Watchlist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S8 Trend-Guarded Reversion+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454 symbols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0.726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0.843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44.6%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62.2%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Advance to larger sample</w:t>
            </w:r>
          </w:p>
        </w:tc>
      </w:tr>
    </w:tbl>
    <w:p>
      <w:pPr>
        <w:spacing w:after="40"/>
      </w:pPr>
    </w:p>
    <w:p>
      <w:r>
        <w:t>S8 is the clearest screening candidate because its prediction replay improved across the 350- and 454-symbol pilots. However, the test Sharpe remained below 1 and turnover was high, so this is evidence for further testing rather than a production decision.</w:t>
      </w:r>
    </w:p>
    <w:p>
      <w:pPr>
        <w:pStyle w:val="Heading1"/>
      </w:pPr>
      <w:r>
        <w:t>4. All-Strategy Iteration Result</w:t>
      </w:r>
    </w:p>
    <w:p>
      <w:r>
        <w:t>The broader 350-symbol iteration produced inconsistent effects. Some strategies improved backtest Sharpe while their replayed prediction accuracy fell; others changed directions without a stable benefit. The iteration therefore remains backtest-only and should not be promoted automatically.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Research conclusion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Prediction-aware iteration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Several strategies changed many directions, but gains were not consistent across strategies.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 not use a single replay window to promote a common overlay.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Relaxed turnover iteration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Turnover and sample construction changed the comparison materially.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costs and turnover must be held constant in future comparisons.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Confidence pilot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Chronological train/validation/test split was implemented for selected strategies.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Useful methodology; sample must be expanded before deployment.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ML benchmark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SVR-style kernel reached 64.56% pooled direction hit in the 158-row pilot.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Screening result only; full-holdings, regime-split validation remains required.</w:t>
            </w:r>
          </w:p>
        </w:tc>
      </w:tr>
    </w:tbl>
    <w:p>
      <w:pPr>
        <w:spacing w:after="40"/>
      </w:pPr>
    </w:p>
    <w:p>
      <w:pPr>
        <w:pStyle w:val="Heading1"/>
      </w:pPr>
      <w:r>
        <w:t>5. ML Forecasting Benchmark</w:t>
      </w:r>
    </w:p>
    <w:p>
      <w:r>
        <w:t>The benchmark used a rolling 520-trading-day training window and next-day return prediction for representative strategies. In the pooled 158-row pilot, the direction hit rates were 63.29% for linear regression, 56.33% for a regression tree, 59.49% for random forest, and 64.56% for the SVR-style kernel. This benchmark is useful as a comparison group, not as proof that the most complex model is superior.</w:t>
      </w:r>
    </w:p>
    <w:p>
      <w:pPr>
        <w:pStyle w:val="Heading1"/>
      </w:pPr>
      <w:r>
        <w:t>6. GenAI Research Overlay Pilot</w:t>
      </w:r>
    </w:p>
    <w:p>
      <w:r>
        <w:t>The all-strategy research-proxy replay reported positive adjusted-hit lifts for several strategies, including S6, S9, S12, S10, and S11. It was explicitly labelled a research-proxy simulation rather than a strict point-in-time historical news backtest. The missing ingredient is a timestamped historical news archive that prevents look-ahead bias.</w:t>
      </w:r>
    </w:p>
    <w:p>
      <w:pPr>
        <w:pStyle w:val="Heading1"/>
      </w:pPr>
      <w:r>
        <w:t>7. V5 Promotion Rules</w:t>
      </w:r>
    </w:p>
    <w:p>
      <w:pPr>
        <w:pStyle w:val="ListBullet"/>
      </w:pPr>
      <w:r>
        <w:t>Do not replace V3.5, V4, or V4.5 based on a small-sample replay alone.</w:t>
      </w:r>
    </w:p>
    <w:p>
      <w:pPr>
        <w:pStyle w:val="ListBullet"/>
      </w:pPr>
      <w:r>
        <w:t>Require the same holdings definition, transaction cost, horizon, date window, and data source for baseline and V5.</w:t>
      </w:r>
    </w:p>
    <w:p>
      <w:pPr>
        <w:pStyle w:val="ListBullet"/>
      </w:pPr>
      <w:r>
        <w:t>Use train/validation/test or walk-forward splits, and keep the final test period untouched during parameter selection.</w:t>
      </w:r>
    </w:p>
    <w:p>
      <w:pPr>
        <w:pStyle w:val="ListBullet"/>
      </w:pPr>
      <w:r>
        <w:t>Report both portfolio metrics and prediction metrics; neither substitutes for the other.</w:t>
      </w:r>
    </w:p>
    <w:p>
      <w:pPr>
        <w:pStyle w:val="ListBullet"/>
      </w:pPr>
      <w:r>
        <w:t>Require repeated improvement across distinct market regimes and a sufficient number of distinct forecast dates.</w:t>
      </w:r>
    </w:p>
    <w:p>
      <w:pPr>
        <w:pStyle w:val="Heading1"/>
      </w:pPr>
      <w:r>
        <w:t>8. Evidence Files</w:t>
      </w:r>
    </w:p>
    <w:p>
      <w:pPr>
        <w:pStyle w:val="ListBullet"/>
      </w:pPr>
      <w:r>
        <w:t>api/v5-confidence-training-pilot-2026-08-04.md</w:t>
      </w:r>
    </w:p>
    <w:p>
      <w:pPr>
        <w:pStyle w:val="ListBullet"/>
      </w:pPr>
      <w:r>
        <w:t>api/v5-factor-parameter-training-2026-08-04-proposed-v5-180-five-strategies.md</w:t>
      </w:r>
    </w:p>
    <w:p>
      <w:pPr>
        <w:pStyle w:val="ListBullet"/>
      </w:pPr>
      <w:r>
        <w:t>api/2026-08-10-v5-all-strategy-small-sample.md</w:t>
      </w:r>
    </w:p>
    <w:p>
      <w:pPr>
        <w:pStyle w:val="ListBullet"/>
      </w:pPr>
      <w:r>
        <w:t>api/2026-08-10-v5-s8-s11-s12-350-sample.md</w:t>
      </w:r>
    </w:p>
    <w:p>
      <w:pPr>
        <w:pStyle w:val="ListBullet"/>
      </w:pPr>
      <w:r>
        <w:t>api/2026-08-10-v5-s8-500-full-conservative.md</w:t>
      </w:r>
    </w:p>
    <w:p>
      <w:pPr>
        <w:pStyle w:val="ListBullet"/>
      </w:pPr>
      <w:r>
        <w:t>api/small-sample-ml-forecast-benchmark-2026-08-05.md</w:t>
      </w:r>
    </w:p>
    <w:p>
      <w:pPr>
        <w:pStyle w:val="ListBullet"/>
      </w:pPr>
      <w:r>
        <w:t>api/2026-08-11-genai-research-all-strategies-summary.md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RiskDesk research record | 2026-08-18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