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hAnsi="Arial" w:cs="Arial"/>
        </w:rPr>
        <w:t>Fonts face only.</w:t>
      </w:r>
      <w:r>
        <w:rPr>
          <w:rFonts w:ascii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hAnsi="Arial" w:cs="Arial"/>
        </w:rPr>
        <w:t>Fonts face only.</w:t>
      </w:r>
      <w:r>
        <w:rPr>
          <w:rFonts w:ascii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2016-12-05T18:25:07Z</dcterms:created>
  <dcterms:modified xsi:type="dcterms:W3CDTF">2016-12-05T18:25:07Z</dcterms:modified>
</cp:coreProperties>
</file>