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sz w:val="36"/>
          <w:szCs w:val="36"/>
          <w:lang w:eastAsia="zh-CN"/>
        </w:rPr>
        <w:t>艺术中国——</w:t>
      </w:r>
      <w:r>
        <w:rPr>
          <w:rFonts w:hint="eastAsia"/>
          <w:b/>
          <w:bCs/>
          <w:sz w:val="24"/>
          <w:szCs w:val="24"/>
          <w:lang w:eastAsia="zh-CN"/>
        </w:rPr>
        <w:t>书画世界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“画中有诗，诗中有画”，在书画中穿越历代各朝，在文化氛围中体会中外文明。书画分书法和绘画，书法作为最贴近人们生活的艺术被人们熟知，在这里纵观汉字底蕴体会其中奥妙。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欣赏世界闻名绘画艺术作品，体会扑面而来的艺术气息。耳熟能详的王羲之，课本中出现的达芬奇，领略大家风范。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毛公鼎铭文书法鉴赏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2" w:beforeAutospacing="0" w:after="422" w:afterAutospacing="0" w:line="3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1A1A1A"/>
          <w:spacing w:val="0"/>
          <w:sz w:val="21"/>
          <w:szCs w:val="21"/>
          <w:bdr w:val="none" w:color="auto" w:sz="0" w:space="0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1A1A1A"/>
          <w:spacing w:val="0"/>
          <w:sz w:val="21"/>
          <w:szCs w:val="21"/>
          <w:bdr w:val="none" w:color="auto" w:sz="0" w:space="0"/>
        </w:rPr>
        <w:t>王若曰：“父歆，丕显文武，皇天引厌劂德，配我有周，膺受大命，率怀不廷方亡不觐于文武耿光。唯天将集厥命，亦唯先正略又劂辟，属谨大命，肆皇天亡，临保我有周，丕巩先王配命，畏天疾威，司余小子弗，邦将曷吉？迹迹四方，大从丕静。呜呼！惧作小子溷湛于艰，永巩先王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2" w:beforeAutospacing="0" w:after="422" w:afterAutospacing="0" w:line="30" w:lineRule="atLeast"/>
        <w:ind w:right="0"/>
        <w:rPr>
          <w:rFonts w:hint="default" w:ascii="Times New Roman" w:hAnsi="Times New Roman" w:cs="Times New Roman"/>
          <w:color w:val="1A1A1A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A1A1A"/>
          <w:spacing w:val="0"/>
          <w:sz w:val="21"/>
          <w:szCs w:val="21"/>
          <w:bdr w:val="none" w:color="auto" w:sz="0" w:space="0"/>
        </w:rPr>
        <w:t>　　这是毛公鼎铭文</w:t>
      </w:r>
      <w:r>
        <w:rPr>
          <w:rFonts w:hint="eastAsia" w:ascii="宋体" w:hAnsi="宋体" w:eastAsia="宋体" w:cs="宋体"/>
          <w:b w:val="0"/>
          <w:i w:val="0"/>
          <w:caps w:val="0"/>
          <w:color w:val="1A1A1A"/>
          <w:spacing w:val="0"/>
          <w:sz w:val="21"/>
          <w:szCs w:val="21"/>
          <w:bdr w:val="none" w:color="auto" w:sz="0" w:space="0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i w:val="0"/>
          <w:caps w:val="0"/>
          <w:color w:val="1A1A1A"/>
          <w:spacing w:val="0"/>
          <w:sz w:val="21"/>
          <w:szCs w:val="21"/>
          <w:bdr w:val="none" w:color="auto" w:sz="0" w:space="0"/>
        </w:rPr>
        <w:t>的第一段文字。该鼎铭全文分三十二行近500个字，分五段，每段均从“王若曰”起，文辞完整而精妙。主要内容是，周王为中兴周室，革除积弊，策命重臣毛公，要他忠心辅佐周王，以免遭丧国之祸，并赐以器物。毛公深为感动，特铸鼎以纪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2" w:beforeAutospacing="0" w:after="422" w:afterAutospacing="0" w:line="30" w:lineRule="atLeast"/>
        <w:ind w:left="0" w:right="0"/>
        <w:rPr>
          <w:rFonts w:hint="default" w:ascii="Times New Roman" w:hAnsi="Times New Roman" w:cs="Times New Roman"/>
          <w:color w:val="1A1A1A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A1A1A"/>
          <w:spacing w:val="0"/>
          <w:sz w:val="21"/>
          <w:szCs w:val="21"/>
          <w:bdr w:val="none" w:color="auto" w:sz="0" w:space="0"/>
        </w:rPr>
        <w:t>　　毛公鼎被历代视为钟鼎文（金文）中的经典名作和书法艺术瑰宝。自其问世以来，不断有人对其进行考释研究，《捃古录金文》、《奇觚室吉金文存》、《客斋集古录》、《周金文存》、《三代吉金文存》、《两周金文辞大系图录考释》等，都作了著录和研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2" w:beforeAutospacing="0" w:after="422" w:afterAutospacing="0" w:line="30" w:lineRule="atLeast"/>
        <w:ind w:left="0" w:right="0"/>
        <w:rPr>
          <w:rFonts w:hint="default" w:ascii="Times New Roman" w:hAnsi="Times New Roman" w:cs="Times New Roman"/>
          <w:color w:val="1A1A1A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A1A1A"/>
          <w:spacing w:val="0"/>
          <w:sz w:val="21"/>
          <w:szCs w:val="21"/>
          <w:bdr w:val="none" w:color="auto" w:sz="0" w:space="0"/>
        </w:rPr>
        <w:t>　　对毛公鼎铭文书法艺术的欣赏，有人认为，其书法是成熟的西周金文（钟鼎文）风格，奇逸飞动，气象浑穆，笔意圆劲茂隽，结体方长，较散氏盘稍端庄。有的评点，其书法线条饱满遒劲，体势沉雄庄重，布局妥贴，气度轩昂。更有深究者充分肯定，从拓片可见，其文字是在“不规则”的载体上（钟鼎深腹内）表现，能处置得井然有序，和谐统一，且生动多姿，实是难能可贵。在书法上，比起西周早中期，毛公鼎文字书写无一不表现出高超的形式美感，与极高的艺术审美价值，已臻高度成熟和规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2" w:beforeAutospacing="0" w:after="422" w:afterAutospacing="0" w:line="30" w:lineRule="atLeast"/>
        <w:ind w:left="0" w:right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A1A1A"/>
          <w:spacing w:val="0"/>
          <w:sz w:val="21"/>
          <w:szCs w:val="21"/>
          <w:bdr w:val="none" w:color="auto" w:sz="0" w:space="0"/>
        </w:rPr>
        <w:t>　　而如何理解其线条，感悟其笔法？有名家提出，毛公鼎铭文书法形体修长而工整，线条呈“圆”，回曲婉蜒，坚韧纤徐，笔之起收处常呈尖状，笔触长短互用，轻重有别，更多的是给人以“壮”之美。而且在书写中其力度的大小与速度的快慢，对比明显而出现起伏跌宕。因此，临写时一方面要熟练掌握中锋圆笔的运笔方法，另一方面在运笔过程中，还应把握好较强的动作节奏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419F6"/>
    <w:rsid w:val="4254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2017-07-03T05:31:00Z</dcterms:created>
  <dc:creator>koata</dc:creator>
  <cp:lastModifiedBy>koata</cp:lastModifiedBy>
  <dcterms:modified xsi:type="dcterms:W3CDTF">2017-07-03T06:31:16Z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