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A0ED222">
      <w:pPr>
        <w:rPr>
          <w:rFonts w:hint="eastAsia"/>
          <w:lang w:val="en-US" w:eastAsia="zh-CN"/>
        </w:rPr>
      </w:pPr>
      <w:r>
        <w:rPr>
          <w:rFonts w:hint="eastAsia"/>
        </w:rPr>
        <w:t>机构内部员工网站</w:t>
      </w:r>
      <w:r>
        <w:rPr>
          <w:rFonts w:hint="eastAsia"/>
          <w:lang w:val="en-US" w:eastAsia="zh-CN"/>
        </w:rPr>
        <w:t>内容</w:t>
      </w:r>
    </w:p>
    <w:p w14:paraId="069BEEBD">
      <w:pPr>
        <w:rPr>
          <w:rFonts w:hint="default"/>
          <w:lang w:val="en-US" w:eastAsia="zh-CN"/>
        </w:rPr>
      </w:pPr>
    </w:p>
    <w:p w14:paraId="79617E1C">
      <w:pPr>
        <w:rPr>
          <w:rFonts w:hint="eastAsia"/>
          <w:color w:val="C00000"/>
          <w:lang w:val="en-US" w:eastAsia="zh-CN"/>
        </w:rPr>
      </w:pPr>
      <w:r>
        <w:rPr>
          <w:rFonts w:hint="eastAsia"/>
          <w:color w:val="C00000"/>
          <w:lang w:val="en-US" w:eastAsia="zh-CN"/>
        </w:rPr>
        <w:t>搜索关键词</w:t>
      </w:r>
    </w:p>
    <w:p w14:paraId="7E173F77">
      <w:pPr>
        <w:rPr>
          <w:rFonts w:hint="eastAsia"/>
          <w:color w:val="0070C0"/>
          <w:lang w:val="en-US" w:eastAsia="zh-CN"/>
        </w:rPr>
      </w:pPr>
      <w:r>
        <w:rPr>
          <w:rFonts w:hint="eastAsia"/>
          <w:color w:val="0070C0"/>
          <w:lang w:val="en-US" w:eastAsia="zh-CN"/>
        </w:rPr>
        <w:t>标题</w:t>
      </w:r>
    </w:p>
    <w:p w14:paraId="2C04F36C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内容</w:t>
      </w:r>
    </w:p>
    <w:p w14:paraId="6A0BBB11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1.</w:t>
      </w:r>
    </w:p>
    <w:p w14:paraId="03AE01D1">
      <w:pPr>
        <w:rPr>
          <w:rFonts w:hint="default"/>
          <w:color w:val="C00000"/>
          <w:lang w:val="en-US" w:eastAsia="zh-CN"/>
        </w:rPr>
      </w:pPr>
      <w:r>
        <w:rPr>
          <w:rFonts w:hint="default"/>
          <w:color w:val="C00000"/>
          <w:lang w:val="en-US" w:eastAsia="zh-CN"/>
        </w:rPr>
        <w:t>regenerative protocol</w:t>
      </w:r>
    </w:p>
    <w:p w14:paraId="36A945B3">
      <w:pPr>
        <w:rPr>
          <w:rFonts w:hint="default"/>
          <w:color w:val="0070C0"/>
          <w:lang w:val="en-US" w:eastAsia="zh-CN"/>
        </w:rPr>
      </w:pPr>
      <w:r>
        <w:rPr>
          <w:rFonts w:hint="default"/>
          <w:color w:val="0070C0"/>
          <w:lang w:val="en-US" w:eastAsia="zh-CN"/>
        </w:rPr>
        <w:t>Regenerative Protocol Overview – Phase II</w:t>
      </w:r>
    </w:p>
    <w:p w14:paraId="79826F7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The Phase II regenerative protocol focuses on optimizing tissue recovery and enhancing long-term cellular performance.</w:t>
      </w:r>
    </w:p>
    <w:p w14:paraId="66FA842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Through controlled cycles and monitored conditions, subjects demonstrate improved stability and adaptability over time.</w:t>
      </w:r>
    </w:p>
    <w:p w14:paraId="70A3963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Current results indicate a high consistency rate across selected candidates.</w:t>
      </w:r>
    </w:p>
    <w:p w14:paraId="1DAE3C42">
      <w:pPr>
        <w:rPr>
          <w:rFonts w:hint="eastAsia"/>
          <w:lang w:val="en-US" w:eastAsia="zh-CN"/>
        </w:rPr>
      </w:pPr>
    </w:p>
    <w:p w14:paraId="59532959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2.</w:t>
      </w:r>
    </w:p>
    <w:p w14:paraId="04EC013E">
      <w:pPr>
        <w:rPr>
          <w:rFonts w:hint="default"/>
          <w:color w:val="C00000"/>
          <w:lang w:val="en-US" w:eastAsia="zh-CN"/>
        </w:rPr>
      </w:pPr>
      <w:r>
        <w:rPr>
          <w:rFonts w:hint="default"/>
          <w:color w:val="C00000"/>
          <w:lang w:val="en-US" w:eastAsia="zh-CN"/>
        </w:rPr>
        <w:t>cellular stability</w:t>
      </w:r>
    </w:p>
    <w:p w14:paraId="68DD958B">
      <w:pPr>
        <w:rPr>
          <w:rFonts w:hint="default"/>
          <w:color w:val="0070C0"/>
          <w:lang w:val="en-US" w:eastAsia="zh-CN"/>
        </w:rPr>
      </w:pPr>
      <w:r>
        <w:rPr>
          <w:rFonts w:hint="default"/>
          <w:color w:val="0070C0"/>
          <w:lang w:val="en-US" w:eastAsia="zh-CN"/>
        </w:rPr>
        <w:t>Cellular Stability Index – Internal Report</w:t>
      </w:r>
    </w:p>
    <w:p w14:paraId="52DF9E0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The Cellular Stability Index (CSI) is used to evaluate the consistency of subject responses under controlled conditions.</w:t>
      </w:r>
    </w:p>
    <w:p w14:paraId="28BE28D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Subjects with higher CSI scores are prioritized for advanced procedures.</w:t>
      </w:r>
    </w:p>
    <w:p w14:paraId="1B310705">
      <w:pPr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>Variations are expected during early-stage adaptation.</w:t>
      </w:r>
      <w:r>
        <w:rPr>
          <w:rFonts w:hint="eastAsia"/>
          <w:lang w:val="en-US" w:eastAsia="zh-CN"/>
        </w:rPr>
        <w:t>、</w:t>
      </w:r>
    </w:p>
    <w:p w14:paraId="6833611B">
      <w:pPr>
        <w:rPr>
          <w:rFonts w:hint="eastAsia"/>
          <w:lang w:val="en-US" w:eastAsia="zh-CN"/>
        </w:rPr>
      </w:pPr>
    </w:p>
    <w:p w14:paraId="73BAA8D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3.</w:t>
      </w:r>
    </w:p>
    <w:p w14:paraId="6C1B60F0">
      <w:pPr>
        <w:rPr>
          <w:rFonts w:hint="default"/>
          <w:color w:val="C00000"/>
          <w:lang w:val="en-US" w:eastAsia="zh-CN"/>
        </w:rPr>
      </w:pPr>
      <w:r>
        <w:rPr>
          <w:rFonts w:hint="default"/>
          <w:color w:val="C00000"/>
          <w:lang w:val="en-US" w:eastAsia="zh-CN"/>
        </w:rPr>
        <w:t>behavioral optimization</w:t>
      </w:r>
    </w:p>
    <w:p w14:paraId="73E3C3AC">
      <w:pPr>
        <w:rPr>
          <w:rFonts w:hint="default"/>
          <w:color w:val="0070C0"/>
          <w:lang w:val="en-US" w:eastAsia="zh-CN"/>
        </w:rPr>
      </w:pPr>
      <w:r>
        <w:rPr>
          <w:rFonts w:hint="default"/>
          <w:color w:val="0070C0"/>
          <w:lang w:val="en-US" w:eastAsia="zh-CN"/>
        </w:rPr>
        <w:t>Behavioral Optimization Guidelines</w:t>
      </w:r>
    </w:p>
    <w:p w14:paraId="70521E7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Behavioral Optimization ensures subjects maintain a consistent psychological state throughout the process.</w:t>
      </w:r>
    </w:p>
    <w:p w14:paraId="206816F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Environmental adjustments and guided interaction are applied to reduce resistance and improve compliance.</w:t>
      </w:r>
    </w:p>
    <w:p w14:paraId="1F9B32E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Stable behavior is essential for successful outco</w:t>
      </w:r>
      <w:bookmarkStart w:id="0" w:name="_GoBack"/>
      <w:bookmarkEnd w:id="0"/>
      <w:r>
        <w:rPr>
          <w:rFonts w:hint="default"/>
          <w:lang w:val="en-US" w:eastAsia="zh-CN"/>
        </w:rPr>
        <w:t>mes.</w:t>
      </w:r>
    </w:p>
    <w:p w14:paraId="753C65AF">
      <w:pPr>
        <w:rPr>
          <w:rFonts w:hint="default"/>
          <w:highlight w:val="yellow"/>
          <w:lang w:val="en-US" w:eastAsia="zh-CN"/>
        </w:rPr>
      </w:pPr>
      <w:r>
        <w:rPr>
          <w:rFonts w:hint="eastAsia"/>
          <w:highlight w:val="yellow"/>
          <w:lang w:val="en-US" w:eastAsia="zh-CN"/>
        </w:rPr>
        <w:t>图片1</w:t>
      </w:r>
    </w:p>
    <w:p w14:paraId="2621853A">
      <w:pPr>
        <w:rPr>
          <w:rFonts w:hint="default"/>
          <w:lang w:val="en-US" w:eastAsia="zh-CN"/>
        </w:rPr>
      </w:pPr>
    </w:p>
    <w:p w14:paraId="48877AE8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4.</w:t>
      </w:r>
    </w:p>
    <w:p w14:paraId="22507BFD">
      <w:pPr>
        <w:rPr>
          <w:rFonts w:hint="default"/>
          <w:color w:val="C00000"/>
          <w:lang w:val="en-US" w:eastAsia="zh-CN"/>
        </w:rPr>
      </w:pPr>
      <w:r>
        <w:rPr>
          <w:rFonts w:hint="default"/>
          <w:color w:val="C00000"/>
          <w:lang w:val="en-US" w:eastAsia="zh-CN"/>
        </w:rPr>
        <w:t>subject selection</w:t>
      </w:r>
    </w:p>
    <w:p w14:paraId="0F03EE42">
      <w:pPr>
        <w:rPr>
          <w:rFonts w:hint="default"/>
          <w:color w:val="0070C0"/>
          <w:lang w:val="en-US" w:eastAsia="zh-CN"/>
        </w:rPr>
      </w:pPr>
      <w:r>
        <w:rPr>
          <w:rFonts w:hint="default"/>
          <w:color w:val="0070C0"/>
          <w:lang w:val="en-US" w:eastAsia="zh-CN"/>
        </w:rPr>
        <w:t>Subject Selection Criteria – Internal Use Only</w:t>
      </w:r>
    </w:p>
    <w:p w14:paraId="0A1071D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Preferred candidates demonstrate:</w:t>
      </w:r>
    </w:p>
    <w:p w14:paraId="44266FD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– limited external dependency</w:t>
      </w:r>
    </w:p>
    <w:p w14:paraId="732BE35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– reduced social interference</w:t>
      </w:r>
    </w:p>
    <w:p w14:paraId="07EEC50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– high adaptability under isolated conditions</w:t>
      </w:r>
    </w:p>
    <w:p w14:paraId="24F0210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Early-stage screening may utilize publicly accessible behavioral data sources.</w:t>
      </w:r>
    </w:p>
    <w:p w14:paraId="10C2FADA">
      <w:pPr>
        <w:rPr>
          <w:rFonts w:hint="default"/>
          <w:lang w:val="en-US" w:eastAsia="zh-CN"/>
        </w:rPr>
      </w:pPr>
    </w:p>
    <w:p w14:paraId="6DB6BE0C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5.</w:t>
      </w:r>
    </w:p>
    <w:p w14:paraId="0B31064D">
      <w:pPr>
        <w:rPr>
          <w:rFonts w:hint="default"/>
          <w:color w:val="C00000"/>
          <w:lang w:val="en-US" w:eastAsia="zh-CN"/>
        </w:rPr>
      </w:pPr>
      <w:r>
        <w:rPr>
          <w:rFonts w:hint="default"/>
          <w:color w:val="C00000"/>
          <w:lang w:val="en-US" w:eastAsia="zh-CN"/>
        </w:rPr>
        <w:t>offline session</w:t>
      </w:r>
    </w:p>
    <w:p w14:paraId="63F2BE34">
      <w:pPr>
        <w:rPr>
          <w:rFonts w:hint="default"/>
          <w:color w:val="0070C0"/>
          <w:lang w:val="en-US" w:eastAsia="zh-CN"/>
        </w:rPr>
      </w:pPr>
      <w:r>
        <w:rPr>
          <w:rFonts w:hint="default"/>
          <w:color w:val="0070C0"/>
          <w:lang w:val="en-US" w:eastAsia="zh-CN"/>
        </w:rPr>
        <w:t>Offline Session Arrangement Notice</w:t>
      </w:r>
    </w:p>
    <w:p w14:paraId="771272B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Selected subjects will be invited to attend offline sessions at designated locations.</w:t>
      </w:r>
    </w:p>
    <w:p w14:paraId="5215F65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Participants are required to complete preliminary assessments upon arrival.</w:t>
      </w:r>
    </w:p>
    <w:p w14:paraId="761E74F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All sessions are conducted under controlled environments.</w:t>
      </w:r>
    </w:p>
    <w:p w14:paraId="431F0A1E">
      <w:pPr>
        <w:rPr>
          <w:rFonts w:hint="default"/>
          <w:lang w:val="en-US" w:eastAsia="zh-CN"/>
        </w:rPr>
      </w:pPr>
    </w:p>
    <w:p w14:paraId="6748C199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6.</w:t>
      </w:r>
    </w:p>
    <w:p w14:paraId="6DC367EA">
      <w:pPr>
        <w:rPr>
          <w:rFonts w:hint="default"/>
          <w:color w:val="C00000"/>
          <w:lang w:val="en-US" w:eastAsia="zh-CN"/>
        </w:rPr>
      </w:pPr>
      <w:r>
        <w:rPr>
          <w:rFonts w:hint="default"/>
          <w:color w:val="C00000"/>
          <w:lang w:val="en-US" w:eastAsia="zh-CN"/>
        </w:rPr>
        <w:t>compliance</w:t>
      </w:r>
    </w:p>
    <w:p w14:paraId="06DCBB45">
      <w:pPr>
        <w:rPr>
          <w:rFonts w:hint="default"/>
          <w:color w:val="0070C0"/>
          <w:lang w:val="en-US" w:eastAsia="zh-CN"/>
        </w:rPr>
      </w:pPr>
      <w:r>
        <w:rPr>
          <w:rFonts w:hint="default"/>
          <w:color w:val="0070C0"/>
          <w:lang w:val="en-US" w:eastAsia="zh-CN"/>
        </w:rPr>
        <w:t>Compliance Monitoring Protocol</w:t>
      </w:r>
    </w:p>
    <w:p w14:paraId="5AFDFCA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Subject compliance is evaluated continuously throughout the process.</w:t>
      </w:r>
    </w:p>
    <w:p w14:paraId="296529B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Non-compliant responses may be corrected through guided behavioral adjustment.</w:t>
      </w:r>
    </w:p>
    <w:p w14:paraId="716FB2C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Consistent compliance significantly improves procedural efficiency.</w:t>
      </w:r>
    </w:p>
    <w:p w14:paraId="4F5258E0">
      <w:pPr>
        <w:rPr>
          <w:rFonts w:hint="default"/>
          <w:lang w:val="en-US" w:eastAsia="zh-CN"/>
        </w:rPr>
      </w:pPr>
    </w:p>
    <w:p w14:paraId="3864F77C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7.</w:t>
      </w:r>
    </w:p>
    <w:p w14:paraId="3E034CF2">
      <w:pPr>
        <w:rPr>
          <w:rFonts w:hint="default"/>
          <w:color w:val="C00000"/>
          <w:lang w:val="en-US" w:eastAsia="zh-CN"/>
        </w:rPr>
      </w:pPr>
      <w:r>
        <w:rPr>
          <w:rFonts w:hint="default"/>
          <w:color w:val="C00000"/>
          <w:lang w:val="en-US" w:eastAsia="zh-CN"/>
        </w:rPr>
        <w:t>phase transition</w:t>
      </w:r>
    </w:p>
    <w:p w14:paraId="7A789A63">
      <w:pPr>
        <w:rPr>
          <w:rFonts w:hint="default"/>
          <w:color w:val="0070C0"/>
          <w:lang w:val="en-US" w:eastAsia="zh-CN"/>
        </w:rPr>
      </w:pPr>
      <w:r>
        <w:rPr>
          <w:rFonts w:hint="default"/>
          <w:color w:val="0070C0"/>
          <w:lang w:val="en-US" w:eastAsia="zh-CN"/>
        </w:rPr>
        <w:t>Phase Transition Log – Selected Subjects</w:t>
      </w:r>
    </w:p>
    <w:p w14:paraId="5DBF833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Subject reports indicate a shift in perception during Phase Transition.</w:t>
      </w:r>
    </w:p>
    <w:p w14:paraId="418A95B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Common descriptions include:</w:t>
      </w:r>
    </w:p>
    <w:p w14:paraId="748A754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– heightened awareness</w:t>
      </w:r>
    </w:p>
    <w:p w14:paraId="4F6CCA9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– altered self-identification</w:t>
      </w:r>
    </w:p>
    <w:p w14:paraId="0B5189A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– detachment from prior state</w:t>
      </w:r>
    </w:p>
    <w:p w14:paraId="7480172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These effects are considered normal within acceptable thresholds.</w:t>
      </w:r>
    </w:p>
    <w:p w14:paraId="649DF62D">
      <w:pPr>
        <w:rPr>
          <w:rFonts w:hint="default"/>
          <w:lang w:val="en-US" w:eastAsia="zh-CN"/>
        </w:rPr>
      </w:pPr>
    </w:p>
    <w:p w14:paraId="422045C5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8.</w:t>
      </w:r>
    </w:p>
    <w:p w14:paraId="47CAD1B5">
      <w:pPr>
        <w:rPr>
          <w:rFonts w:hint="default"/>
          <w:color w:val="C00000"/>
          <w:lang w:val="en-US" w:eastAsia="zh-CN"/>
        </w:rPr>
      </w:pPr>
      <w:r>
        <w:rPr>
          <w:rFonts w:hint="default"/>
          <w:color w:val="C00000"/>
          <w:lang w:val="en-US" w:eastAsia="zh-CN"/>
        </w:rPr>
        <w:t>return protocol</w:t>
      </w:r>
    </w:p>
    <w:p w14:paraId="4A1C038E">
      <w:pPr>
        <w:rPr>
          <w:rFonts w:hint="default"/>
          <w:color w:val="0070C0"/>
          <w:lang w:val="en-US" w:eastAsia="zh-CN"/>
        </w:rPr>
      </w:pPr>
      <w:r>
        <w:rPr>
          <w:rFonts w:hint="default"/>
          <w:color w:val="0070C0"/>
          <w:lang w:val="en-US" w:eastAsia="zh-CN"/>
        </w:rPr>
        <w:t>Return Protocol Summary</w:t>
      </w:r>
    </w:p>
    <w:p w14:paraId="53A4E40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Upon completion of the procedure cycle, subjects are returned to their original environments.</w:t>
      </w:r>
    </w:p>
    <w:p w14:paraId="214E29D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Behavioral stabilization is maintained through post-process conditioning.</w:t>
      </w:r>
    </w:p>
    <w:p w14:paraId="3D93E88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Long-term observation indicates improved compliance and reduced deviation.</w:t>
      </w:r>
    </w:p>
    <w:p w14:paraId="2E6B4A6B">
      <w:pPr>
        <w:rPr>
          <w:rFonts w:hint="default"/>
          <w:lang w:val="en-US" w:eastAsia="zh-CN"/>
        </w:rPr>
      </w:pPr>
    </w:p>
    <w:p w14:paraId="4A311C52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9.</w:t>
      </w:r>
    </w:p>
    <w:p w14:paraId="0565FC73">
      <w:pPr>
        <w:rPr>
          <w:rFonts w:hint="default"/>
          <w:color w:val="C00000"/>
          <w:lang w:val="en-US" w:eastAsia="zh-CN"/>
        </w:rPr>
      </w:pPr>
      <w:r>
        <w:rPr>
          <w:rFonts w:hint="default"/>
          <w:color w:val="C00000"/>
          <w:lang w:val="en-US" w:eastAsia="zh-CN"/>
        </w:rPr>
        <w:t>data source</w:t>
      </w:r>
    </w:p>
    <w:p w14:paraId="385DDBB1">
      <w:pPr>
        <w:rPr>
          <w:rFonts w:hint="default"/>
          <w:color w:val="0070C0"/>
          <w:lang w:val="en-US" w:eastAsia="zh-CN"/>
        </w:rPr>
      </w:pPr>
      <w:r>
        <w:rPr>
          <w:rFonts w:hint="default"/>
          <w:color w:val="0070C0"/>
          <w:lang w:val="en-US" w:eastAsia="zh-CN"/>
        </w:rPr>
        <w:t>Data Acquisition Channels</w:t>
      </w:r>
    </w:p>
    <w:p w14:paraId="47EAF53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Behavioral data is collected from multiple publicly accessible platforms.</w:t>
      </w:r>
    </w:p>
    <w:p w14:paraId="1C9B90F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High-frequency emotional expression environments provide optimal candidate pools.</w:t>
      </w:r>
    </w:p>
    <w:p w14:paraId="27493AA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Data is processed and filtered for selection relevance.</w:t>
      </w:r>
    </w:p>
    <w:p w14:paraId="79B277E6">
      <w:pPr>
        <w:rPr>
          <w:rFonts w:hint="default"/>
          <w:lang w:val="en-US" w:eastAsia="zh-CN"/>
        </w:rPr>
      </w:pPr>
    </w:p>
    <w:p w14:paraId="13EE3AD3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10.</w:t>
      </w:r>
    </w:p>
    <w:p w14:paraId="3B81993C">
      <w:pPr>
        <w:rPr>
          <w:rFonts w:hint="default"/>
          <w:color w:val="C00000"/>
          <w:lang w:val="en-US" w:eastAsia="zh-CN"/>
        </w:rPr>
      </w:pPr>
      <w:r>
        <w:rPr>
          <w:rFonts w:hint="default"/>
          <w:color w:val="C00000"/>
          <w:lang w:val="en-US" w:eastAsia="zh-CN"/>
        </w:rPr>
        <w:t>deviation</w:t>
      </w:r>
    </w:p>
    <w:p w14:paraId="0DEFAF1D">
      <w:pPr>
        <w:rPr>
          <w:rFonts w:hint="default"/>
          <w:color w:val="0070C0"/>
          <w:lang w:val="en-US" w:eastAsia="zh-CN"/>
        </w:rPr>
      </w:pPr>
      <w:r>
        <w:rPr>
          <w:rFonts w:hint="default"/>
          <w:color w:val="0070C0"/>
          <w:lang w:val="en-US" w:eastAsia="zh-CN"/>
        </w:rPr>
        <w:t>Deviation Report – Case Review</w:t>
      </w:r>
    </w:p>
    <w:p w14:paraId="64D436B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Certain subjects display irregular responses during late-stage processing.</w:t>
      </w:r>
    </w:p>
    <w:p w14:paraId="29E3C23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These cases are classified as deviations and require additional handling.</w:t>
      </w:r>
    </w:p>
    <w:p w14:paraId="4944B46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Deviation frequency remains within acceptable limits.</w:t>
      </w:r>
    </w:p>
    <w:p w14:paraId="60481F4D">
      <w:pPr>
        <w:rPr>
          <w:rFonts w:hint="default"/>
          <w:lang w:val="en-US" w:eastAsia="zh-CN"/>
        </w:rPr>
      </w:pPr>
    </w:p>
    <w:p w14:paraId="3C457E2D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11.</w:t>
      </w:r>
    </w:p>
    <w:p w14:paraId="23D8698E">
      <w:pPr>
        <w:rPr>
          <w:rFonts w:hint="default"/>
          <w:color w:val="C00000"/>
          <w:lang w:val="en-US" w:eastAsia="zh-CN"/>
        </w:rPr>
      </w:pPr>
      <w:r>
        <w:rPr>
          <w:rFonts w:hint="default"/>
          <w:color w:val="C00000"/>
          <w:lang w:val="en-US" w:eastAsia="zh-CN"/>
        </w:rPr>
        <w:t>archive clearance</w:t>
      </w:r>
    </w:p>
    <w:p w14:paraId="102C443E">
      <w:pPr>
        <w:rPr>
          <w:rFonts w:hint="default"/>
          <w:color w:val="0070C0"/>
          <w:lang w:val="en-US" w:eastAsia="zh-CN"/>
        </w:rPr>
      </w:pPr>
      <w:r>
        <w:rPr>
          <w:rFonts w:hint="default"/>
          <w:color w:val="0070C0"/>
          <w:lang w:val="en-US" w:eastAsia="zh-CN"/>
        </w:rPr>
        <w:t>Archive Clearance Notice</w:t>
      </w:r>
    </w:p>
    <w:p w14:paraId="674020E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Following completion of the current cycle, selected data sources will be discontinued.</w:t>
      </w:r>
    </w:p>
    <w:p w14:paraId="105DC2E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Residual access points may remain temporarily.</w:t>
      </w:r>
    </w:p>
    <w:p w14:paraId="0E49058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Full clearance will proceed in phases.</w:t>
      </w:r>
    </w:p>
    <w:p w14:paraId="04A443FE">
      <w:pPr>
        <w:rPr>
          <w:rFonts w:hint="default"/>
          <w:lang w:val="en-US" w:eastAsia="zh-CN"/>
        </w:rPr>
      </w:pPr>
    </w:p>
    <w:p w14:paraId="5F4B8423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12.</w:t>
      </w:r>
    </w:p>
    <w:p w14:paraId="75FEEA82">
      <w:pPr>
        <w:rPr>
          <w:rFonts w:hint="default"/>
          <w:color w:val="C00000"/>
          <w:lang w:val="en-US" w:eastAsia="zh-CN"/>
        </w:rPr>
      </w:pPr>
      <w:r>
        <w:rPr>
          <w:rFonts w:hint="default"/>
          <w:color w:val="C00000"/>
          <w:lang w:val="en-US" w:eastAsia="zh-CN"/>
        </w:rPr>
        <w:t>anomaly</w:t>
      </w:r>
    </w:p>
    <w:p w14:paraId="6F7D40E3">
      <w:pPr>
        <w:rPr>
          <w:rFonts w:hint="default"/>
          <w:color w:val="0070C0"/>
          <w:lang w:val="en-US" w:eastAsia="zh-CN"/>
        </w:rPr>
      </w:pPr>
      <w:r>
        <w:rPr>
          <w:rFonts w:hint="default"/>
          <w:color w:val="0070C0"/>
          <w:lang w:val="en-US" w:eastAsia="zh-CN"/>
        </w:rPr>
        <w:t>Anomaly Flag – Monitoring Required</w:t>
      </w:r>
    </w:p>
    <w:p w14:paraId="5874AE1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Irregular user behavior detected within data channels.</w:t>
      </w:r>
    </w:p>
    <w:p w14:paraId="4805E49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Further observation required.</w:t>
      </w:r>
    </w:p>
    <w:p w14:paraId="2E1B5968">
      <w:pPr>
        <w:rPr>
          <w:rFonts w:hint="default"/>
          <w:lang w:val="en-US" w:eastAsia="zh-CN"/>
        </w:rPr>
      </w:pPr>
    </w:p>
    <w:p w14:paraId="52835AC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Status: Pending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6731A64"/>
    <w:rsid w:val="046765BB"/>
    <w:rsid w:val="26731A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7">
    <w:name w:val="Default Paragraph Font"/>
    <w:semiHidden/>
    <w:qFormat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8">
    <w:name w:val="Strong"/>
    <w:basedOn w:val="7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433</Words>
  <Characters>2921</Characters>
  <Lines>0</Lines>
  <Paragraphs>0</Paragraphs>
  <TotalTime>32</TotalTime>
  <ScaleCrop>false</ScaleCrop>
  <LinksUpToDate>false</LinksUpToDate>
  <CharactersWithSpaces>3257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2026-03-31T09:10:00Z</dcterms:created>
  <dc:creator>aosi Nikki</dc:creator>
  <cp:lastModifiedBy>aosi Nikki</cp:lastModifiedBy>
  <dcterms:modified xsi:type="dcterms:W3CDTF">2026-03-31T09:45:51Z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2A82F1339C494AAFA6340CDD1E4998ED_11</vt:lpwstr>
  </property>
  <property fmtid="{D5CDD505-2E9C-101B-9397-08002B2CF9AE}" pid="4" name="KSOTemplateDocerSaveRecord">
    <vt:lpwstr>eyJoZGlkIjoiM2YwMWQ2NWYxYjg5NzU4Yjk5NTAxYjY3NzQ5MWFkMDgiLCJ1c2VySWQiOiI5ODA2MjUzIn0=</vt:lpwstr>
  </property>
</Properties>
</file>