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14.vsdx" ContentType="application/vnd.ms-visio.drawing"/>
  <Override PartName="/word/embeddings/Microsoft_Visio_Drawing15.vsdx" ContentType="application/vnd.ms-visio.drawing"/>
  <Override PartName="/word/embeddings/Microsoft_Visio_Drawing16.vsdx" ContentType="application/vnd.ms-visio.drawing"/>
  <Override PartName="/word/embeddings/Microsoft_Visio_Drawing17.vsdx" ContentType="application/vnd.ms-visio.drawing"/>
  <Override PartName="/word/embeddings/Microsoft_Visio_Drawing18.vsdx" ContentType="application/vnd.ms-visio.drawing"/>
  <Override PartName="/word/embeddings/Microsoft_Visio_Drawing19.vsdx" ContentType="application/vnd.ms-visio.drawing"/>
  <Override PartName="/word/embeddings/Microsoft_Visio_Drawing2.vsdx" ContentType="application/vnd.ms-visio.drawing"/>
  <Override PartName="/word/embeddings/Microsoft_Visio_Drawing20.vsdx" ContentType="application/vnd.ms-visio.drawing"/>
  <Override PartName="/word/embeddings/Microsoft_Visio_Drawing21.vsdx" ContentType="application/vnd.ms-visio.drawing"/>
  <Override PartName="/word/embeddings/Microsoft_Visio_Drawing22.vsdx" ContentType="application/vnd.ms-visio.drawing"/>
  <Override PartName="/word/embeddings/Microsoft_Visio_Drawing23.vsdx" ContentType="application/vnd.ms-visio.drawing"/>
  <Override PartName="/word/embeddings/Microsoft_Visio_Drawing24.vsdx" ContentType="application/vnd.ms-visio.drawing"/>
  <Override PartName="/word/embeddings/Microsoft_Visio_Drawing25.vsdx" ContentType="application/vnd.ms-visio.drawing"/>
  <Override PartName="/word/embeddings/Microsoft_Visio_Drawing26.vsdx" ContentType="application/vnd.ms-visio.drawing"/>
  <Override PartName="/word/embeddings/Microsoft_Visio_Drawing27.vsdx" ContentType="application/vnd.ms-visio.drawing"/>
  <Override PartName="/word/embeddings/Microsoft_Visio_Drawing28.vsdx" ContentType="application/vnd.ms-visio.drawing"/>
  <Override PartName="/word/embeddings/Microsoft_Visio_Drawing29.vsdx" ContentType="application/vnd.ms-visio.drawing"/>
  <Override PartName="/word/embeddings/Microsoft_Visio_Drawing3.vsdx" ContentType="application/vnd.ms-visio.drawing"/>
  <Override PartName="/word/embeddings/Microsoft_Visio_Drawing30.vsdx" ContentType="application/vnd.ms-visio.drawing"/>
  <Override PartName="/word/embeddings/Microsoft_Visio_Drawing31.vsdx" ContentType="application/vnd.ms-visio.drawing"/>
  <Override PartName="/word/embeddings/Microsoft_Visio_Drawing32.vsdx" ContentType="application/vnd.ms-visio.drawing"/>
  <Override PartName="/word/embeddings/Microsoft_Visio_Drawing3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120"/>
        <w:ind w:firstLine="0"/>
        <w:jc w:val="left"/>
      </w:pPr>
      <w:r>
        <w:rPr>
          <w:rFonts w:ascii="黑体" w:hAnsi="黑体" w:eastAsia="黑体"/>
          <w:b/>
          <w:color w:val="000000"/>
          <w:sz w:val="32"/>
        </w:rPr>
        <w:t>1. 课题来源及研究目的和意义</w:t>
      </w:r>
    </w:p>
    <w:p>
      <w:pPr>
        <w:spacing w:before="160" w:after="80"/>
        <w:ind w:firstLine="0"/>
      </w:pPr>
      <w:r>
        <w:rPr>
          <w:rFonts w:ascii="黑体" w:hAnsi="黑体" w:eastAsia="黑体"/>
          <w:b/>
          <w:color w:val="000000"/>
          <w:sz w:val="30"/>
        </w:rPr>
        <w:t>1.1 课题来源</w:t>
      </w:r>
    </w:p>
    <w:p>
      <w:pPr>
        <w:spacing w:line="360" w:lineRule="auto" w:after="0"/>
        <w:ind w:firstLine="420"/>
      </w:pPr>
      <w:r>
        <w:rPr>
          <w:rFonts w:ascii="宋体" w:hAnsi="宋体" w:eastAsia="宋体"/>
          <w:b w:val="0"/>
          <w:color w:val="000000"/>
          <w:sz w:val="24"/>
        </w:rPr>
        <w:t>该项目来源于黑龙江省自然基金项目。</w:t>
      </w:r>
    </w:p>
    <w:p>
      <w:pPr>
        <w:spacing w:before="160" w:after="80"/>
        <w:ind w:firstLine="0"/>
      </w:pPr>
      <w:r>
        <w:rPr>
          <w:rFonts w:ascii="黑体" w:hAnsi="黑体" w:eastAsia="黑体"/>
          <w:b/>
          <w:color w:val="000000"/>
          <w:sz w:val="30"/>
        </w:rPr>
        <w:t>1.2 研究目的和意义</w:t>
      </w:r>
    </w:p>
    <w:p>
      <w:pPr>
        <w:spacing w:line="360" w:lineRule="auto" w:after="0"/>
        <w:ind w:firstLine="420"/>
      </w:pPr>
      <w:r>
        <w:rPr>
          <w:rFonts w:ascii="宋体" w:hAnsi="宋体" w:eastAsia="宋体"/>
          <w:b w:val="0"/>
          <w:color w:val="000000"/>
          <w:sz w:val="24"/>
        </w:rPr>
        <w:t>作为遥感感知能力不断增强的重要体现，多模态遥感技术通过融合不同传感器（如高光谱、激光雷达、合成孔径雷达等）获取的异构信息，实现了从地物光谱特征、几何结构到空间分布等多角度、全方位的信息感知。多模态遥感数据往往具备互补特性，高光谱数据提供精细的光谱辨识能力，激光雷达数据则提供高精度的三维几何信息，合成孔径雷达在复杂气象条件下仍可稳定成像。多模态数据的融合分析不仅能够显著提升地物类别的可分性与分类精度，还拓展了遥感在城市管理、灾害评估、军事侦察等领域的应用能力，已成为遥感智能解译领域的研究热点[1]。</w:t>
      </w:r>
    </w:p>
    <w:p>
      <w:pPr>
        <w:spacing w:line="360" w:lineRule="auto" w:after="0"/>
        <w:ind w:firstLine="420"/>
      </w:pPr>
      <w:r>
        <w:rPr>
          <w:rFonts w:ascii="宋体" w:hAnsi="宋体" w:eastAsia="宋体"/>
          <w:b w:val="0"/>
          <w:color w:val="000000"/>
          <w:sz w:val="24"/>
        </w:rPr>
        <w:t>多模态遥感图像分类旨在充分利用不同模态的互补特征，实现更加全面、准确的地物分类[2]。尽管当前深度学习方法在多模态遥感分类任务中取得了显著成果，但大多数基于深度学习的多模态数据分类需要大量已标记样本且假设全部类别标记已知。这一假设与现实世界中的遥感应用存在较大差距。一方面，多模态遥感数据分类中获取训练样本的标签代价较高，在实际应用中未标记的样本数目多。另一方面，在实际遥感场景中，地物类型常常因自然变化或人为活动而不断演化，遥感系统常常需要面对从未标注过的新类别，即未知类。传统分类模型未能合理利用未标记样本，同时也未对未知类别的感知与分类能力进行探索。因此在实际遥感应用中充分利用未标记样本进行预训练[3]，研究多模态遥感图像未知类分类具有重要实际意义。然而不同传感器获得的多模态数据具有差异性，以及存在于训练数据集之外的未知类带来了新的分类挑战：</w:t>
      </w:r>
    </w:p>
    <w:p>
      <w:pPr>
        <w:spacing w:line="360" w:lineRule="auto" w:after="0"/>
        <w:ind w:firstLine="420"/>
      </w:pPr>
      <w:r>
        <w:rPr>
          <w:rFonts w:ascii="宋体" w:hAnsi="宋体" w:eastAsia="宋体"/>
          <w:b w:val="0"/>
          <w:color w:val="000000"/>
          <w:sz w:val="24"/>
        </w:rPr>
        <w:t>1）传统的多模态遥感图像分类模型通常建立在一个固定类别集合的假设之上，即认为测试图像中出现的所有地物类别在训练阶段都已经见过。这种做法在类别范围已知且稳定的情况下可以取得较好效果，但在真实的遥感应用中，分类阶段往往会出现训练集中未出现的新类别。此时，模型缺乏对未知类别的分类能力，往往会将其错误地归入已有类别，从而带来较高的误判风险。这不仅削弱了模型的泛化能力，也限制了其在动态场景中的应用价值。因此，需要研究模型应对未知类别的能力，从而实现未知类的准确分类。</w:t>
      </w:r>
    </w:p>
    <w:p>
      <w:pPr>
        <w:spacing w:line="360" w:lineRule="auto" w:after="0"/>
        <w:ind w:firstLine="420"/>
      </w:pPr>
      <w:r>
        <w:rPr>
          <w:rFonts w:ascii="宋体" w:hAnsi="宋体" w:eastAsia="宋体"/>
          <w:b w:val="0"/>
          <w:color w:val="000000"/>
          <w:sz w:val="24"/>
        </w:rPr>
        <w:t>2）现有多模态遥感数据分类的方法都假设所有多模态遥感数据可一次性获取，并在统一的数据集上完成训练。但在实际应用中，遥感数据往往是按照时间顺序逐步获取的，由于获取周期长、覆盖范围广，经常会出现新类别。在这种情况下，传统模型在学习新知识时容易遗忘已学过的类别特征，导致分类性能显著下降。针对该问题，需要研究能够在新增数据环境下持续学习的多模态遥感图像分类方法，即一方面保留和巩固从历史数据中获得的知识，另一方面能够快速适应新出现的类别，从而实现对未知类的有效分类。</w:t>
      </w:r>
    </w:p>
    <w:p>
      <w:pPr>
        <w:spacing w:line="360" w:lineRule="auto" w:after="0"/>
        <w:ind w:firstLine="420"/>
      </w:pPr>
      <w:r>
        <w:rPr>
          <w:rFonts w:ascii="宋体" w:hAnsi="宋体" w:eastAsia="宋体"/>
          <w:b w:val="0"/>
          <w:color w:val="000000"/>
          <w:sz w:val="24"/>
        </w:rPr>
        <w:t>为应对上述问题，近年来Transformer结构被广泛引入多模态学习领域。相较于卷积神经网络（CNN），Transformer以其强大的全局建模能力与跨模态对齐能力，可同时构建局部细节与全局上下文依赖，尤其适合建模不同模态之间的空间、光谱与结构特征关系[4]。其自注意力机制可动态捕捉多模态特征间的重要性权重，并对长距离依赖信息进行联合建模，具备更强的泛化能力。将Transformer引入多模态遥感图像分类，不仅可以提升特征融合质量，还可为识别未知类别提供更为灵活的表示空间。</w:t>
      </w:r>
    </w:p>
    <w:p>
      <w:pPr>
        <w:spacing w:line="360" w:lineRule="auto" w:after="0"/>
        <w:ind w:firstLine="420"/>
      </w:pPr>
      <w:r>
        <w:rPr>
          <w:rFonts w:ascii="宋体" w:hAnsi="宋体" w:eastAsia="宋体"/>
          <w:b w:val="0"/>
          <w:color w:val="000000"/>
          <w:sz w:val="24"/>
        </w:rPr>
        <w:t>本课题旨在研究视觉语言模型辅助下多模态遥感图像像素级分类，面向实际遥感应用中可能出现未知类别的场景，能够处理未知类分类。具体目标包括：设计基于预训练模型的多模态特征融合结构，通过在大规模数据上学习通用表征，充分发挥不同模态信息的互补优势；建立面向未知类别的分类机制，提升模型在面对训练中未见过类别时的分类性能；探索适用于多模态场景的持续学习策略，使得模型能够在新类别不断出现的情况下保持稳定表现，从而增强其在不同任务和区域中的泛化能力。综上所述，面对遥感应用中数据来源多样、地物类型变化复杂以及未知类别不断涌现的现实挑战，研究视觉语言模型辅助下多模态遥感图像像素级分类，不仅能够弥补传统方法在数据动态变化下的局限性，还能推动遥感智能分类技术向更加智能的方向发展，具有较强的理论价值与应用前景。</w:t>
      </w:r>
    </w:p>
    <w:p>
      <w:pPr>
        <w:spacing w:before="240" w:after="120"/>
        <w:ind w:firstLine="0"/>
        <w:jc w:val="left"/>
      </w:pPr>
      <w:r>
        <w:rPr>
          <w:rFonts w:ascii="黑体" w:hAnsi="黑体" w:eastAsia="黑体"/>
          <w:b/>
          <w:color w:val="000000"/>
          <w:sz w:val="32"/>
        </w:rPr>
        <w:t>2. 国内外研究现状及分析</w:t>
      </w:r>
    </w:p>
    <w:p>
      <w:pPr>
        <w:spacing w:line="360" w:lineRule="auto" w:after="0"/>
        <w:ind w:firstLine="420"/>
      </w:pPr>
      <w:r>
        <w:rPr>
          <w:rFonts w:ascii="宋体" w:hAnsi="宋体" w:eastAsia="宋体"/>
          <w:b w:val="0"/>
          <w:color w:val="000000"/>
          <w:sz w:val="24"/>
        </w:rPr>
        <w:t>本课题涉及的相关研究得到越来越多国内外学者的关注，其中包含的相关理论和成果，对本课题的研究具有重要的推动作用，下面将从多模态遥感数据特征提取与融合、深度学习算法的应用、未知类分类方法以及视觉语言模型四个方面展开介绍和说明，为后续课题研究奠定基础。</w:t>
      </w:r>
    </w:p>
    <w:p>
      <w:pPr>
        <w:spacing w:before="160" w:after="80"/>
        <w:ind w:firstLine="0"/>
      </w:pPr>
      <w:r>
        <w:rPr>
          <w:rFonts w:ascii="黑体" w:hAnsi="黑体" w:eastAsia="黑体"/>
          <w:b/>
          <w:color w:val="000000"/>
          <w:sz w:val="30"/>
        </w:rPr>
        <w:t>2.1 经典多模态遥感图像分类方法研究现状</w:t>
      </w:r>
    </w:p>
    <w:p>
      <w:pPr>
        <w:spacing w:line="360" w:lineRule="auto" w:after="0"/>
        <w:ind w:firstLine="420"/>
      </w:pPr>
      <w:r>
        <w:rPr>
          <w:rFonts w:ascii="宋体" w:hAnsi="宋体" w:eastAsia="宋体"/>
          <w:b w:val="0"/>
          <w:color w:val="000000"/>
          <w:sz w:val="24"/>
        </w:rPr>
        <w:t>多模态遥感图像分类技术旨在利用不同遥感数据源间的信息互补性，以提升地物分类精度。传统多模态遥感图像分类方法大多围绕特征提取和特征融合两个方面展开研究。一方面，通过构建合适的特征表示方式来捕获各模态中的关键信息；另一方面，通过设计有效的融合策略将多模态特征加以整合，以发挥不同模态之间的互补优势。根据研究内容的不同，可以将其划分为特征提取方法和特征融合方法两个方面。</w:t>
      </w:r>
    </w:p>
    <w:p>
      <w:pPr>
        <w:spacing w:before="120" w:after="40"/>
        <w:ind w:firstLine="0"/>
      </w:pPr>
      <w:r>
        <w:rPr>
          <w:rFonts w:ascii="黑体" w:hAnsi="黑体" w:eastAsia="黑体"/>
          <w:b/>
          <w:color w:val="000000"/>
          <w:sz w:val="28"/>
        </w:rPr>
        <w:t>2.1.1 多模态遥感图像特征提取方法研究现状</w:t>
      </w:r>
    </w:p>
    <w:p>
      <w:pPr>
        <w:spacing w:line="360" w:lineRule="auto" w:after="0"/>
        <w:ind w:firstLine="420"/>
      </w:pPr>
      <w:r>
        <w:rPr>
          <w:rFonts w:ascii="宋体" w:hAnsi="宋体" w:eastAsia="宋体"/>
          <w:b w:val="0"/>
          <w:color w:val="000000"/>
          <w:sz w:val="24"/>
        </w:rPr>
        <w:t>传统的多模态遥感图像分类方法主要依赖于人工设计的特征提取器，从不同模态的数据中提取具有判别性的特征。为了适配不同类型的遥感数据，研究者通常会根据模态特性设计专门的特征提取器。例如，高光谱图像中每一个像素都包含连续且高维的光谱反射信息，早期研究尝试在光谱维度上进行特征提取，包括主成分分析、独立成分分析、线性判别分析等线性变换方法[5]。然而由于高光谱数据通常具有高度非线性的特征结构，基于线性变换的提取方式存在表达能力不足的问题。为此，研究者们引入了流形学习方法，如局部线性嵌入、拉普拉斯特征映射等，试图从非线性角度建模数据的内在结构[6]。此外，基于稀疏表示的光谱特征提取方法也随之涌现，通过将光谱向量表示为冗余字典中少量原子的稀疏组合，从而挖掘具有区分能力的潜在特征[7]。</w:t>
      </w:r>
    </w:p>
    <w:p>
      <w:pPr>
        <w:spacing w:line="360" w:lineRule="auto" w:after="0"/>
        <w:ind w:firstLine="420"/>
      </w:pPr>
      <w:r>
        <w:rPr>
          <w:rFonts w:ascii="宋体" w:hAnsi="宋体" w:eastAsia="宋体"/>
          <w:b w:val="0"/>
          <w:color w:val="000000"/>
          <w:sz w:val="24"/>
        </w:rPr>
        <w:t>为了丰富多模态遥感图像的特征表示，研究者逐渐将图像的空间信息引入特征提取中。常用的空间特征提取方法包括扩展形态学特征（Extended Morphological Profile, EMP）[8]、扩展形态学属性特征（Extended Morphological Attribute Profile, EMAP）[9]、小波变换[10]、Gabor变换[11]、灰度共生矩阵[12]等。这些方法能够有效提取遥感图像的纹理、边缘和结构等高阶信息。</w:t>
      </w:r>
    </w:p>
    <w:p>
      <w:pPr>
        <w:spacing w:before="120" w:after="40"/>
        <w:ind w:firstLine="0"/>
      </w:pPr>
      <w:r>
        <w:rPr>
          <w:rFonts w:ascii="黑体" w:hAnsi="黑体" w:eastAsia="黑体"/>
          <w:b/>
          <w:color w:val="000000"/>
          <w:sz w:val="28"/>
        </w:rPr>
        <w:t>2.1.2 多模态遥感图像特征融合方法研究现状</w:t>
      </w:r>
    </w:p>
    <w:p>
      <w:pPr>
        <w:spacing w:line="360" w:lineRule="auto" w:after="0"/>
        <w:ind w:firstLine="420"/>
      </w:pPr>
      <w:r>
        <w:rPr>
          <w:rFonts w:ascii="宋体" w:hAnsi="宋体" w:eastAsia="宋体"/>
          <w:b w:val="0"/>
          <w:color w:val="000000"/>
          <w:sz w:val="24"/>
        </w:rPr>
        <w:t>在多模态遥感图像分类任务中，特征融合作为连接不同模态信息的关键环节，对最终分类性能起到决定性作用。由于不同模态在信息表达形式、语义侧重和特征分布上存在差异，同时又具有一定的互补性和冗余性。如何充分挖掘并融合跨模态的互补信息、抑制冗余干扰，从而提升地物识别的准确性，一直是研究的热点。</w:t>
      </w:r>
    </w:p>
    <w:p>
      <w:pPr>
        <w:spacing w:line="360" w:lineRule="auto" w:after="0"/>
        <w:ind w:firstLine="420"/>
      </w:pPr>
      <w:r>
        <w:rPr>
          <w:rFonts w:ascii="宋体" w:hAnsi="宋体" w:eastAsia="宋体"/>
          <w:b w:val="0"/>
          <w:color w:val="000000"/>
          <w:sz w:val="24"/>
        </w:rPr>
        <w:t>早期的融合方法大多采用特征拼接的方式，即在完成各模态独立的特征提取后，直接将其在维度上级联形成联合特征向量，并输入分类器进行判别。这种方式实现简单，但由于未考虑不同模态之间在尺度、分布及语义空间上的差异，常导致信息冗余和融合效率低下。为了克服这一问题，后续研究引入了更强的跨模态关联建模能力的融合策略。例如，Liao等人提出了基于图结构的融合方法，通过构建多模态联合图，融合高光谱图像和激光雷达数据的形态学特征，从而增强特征融合[13]。Rasti等人通过联合使用稀疏表示和低秩子空间建模来改进融合[14]。此外，考虑到不同的模态中包含的共有性和特异性信息，Hong等人引入子空间正则化，提出了新的学习框架，将融合特征分解为跨模态共享的通用特征与模态特有的补充特征，在保留互补信息的同时有效降低了冗余干扰[15]。Pournemat等人利用流形学习和半监督学习，进行跨模态对齐，抑制模态特有信息干扰[16]。</w:t>
      </w:r>
    </w:p>
    <w:p>
      <w:pPr>
        <w:spacing w:line="360" w:lineRule="auto" w:after="0"/>
        <w:ind w:firstLine="420"/>
      </w:pPr>
      <w:r>
        <w:rPr>
          <w:rFonts w:ascii="宋体" w:hAnsi="宋体" w:eastAsia="宋体"/>
          <w:b w:val="0"/>
          <w:color w:val="000000"/>
          <w:sz w:val="24"/>
        </w:rPr>
        <w:t>上述提取出的融合特征，通常需要借助分类器完成最终分类任务。常用的分类器包括支持向量机（Support Vector Machine, SVM）[17]、随机森林[18]等。</w:t>
      </w:r>
    </w:p>
    <w:p>
      <w:pPr>
        <w:spacing w:line="360" w:lineRule="auto" w:after="0"/>
        <w:ind w:firstLine="420"/>
      </w:pPr>
      <w:r>
        <w:rPr>
          <w:rFonts w:ascii="宋体" w:hAnsi="宋体" w:eastAsia="宋体"/>
          <w:b w:val="0"/>
          <w:color w:val="000000"/>
          <w:sz w:val="24"/>
        </w:rPr>
        <w:t>尽管传统多模态遥感图像分类方法已经取得显著进展，但其发展仍面临诸多挑战。这些方法普遍依赖人工设计的特征提取器，难以自动捕获数据的深层语义信息，所提取的特征大多停留在底层或中层语义层次，难以应对遥感图像中场景多样性与复杂性。同时，模态间的信息冗余问题尚未得到有效解决，现有融合策略大多为静态固定，缺乏对模态互补关系的动态建模能力。此外，许多方法采用分阶段处理，特征提取、融合与分类过程相互割裂，缺乏端到端的整体优化能力。基于上述不足，为进一步提升多模态遥感图像的分类性能，有必要探索具备更强表征能力的自动特征提取方法。</w:t>
      </w:r>
    </w:p>
    <w:p>
      <w:pPr>
        <w:spacing w:before="160" w:after="80"/>
        <w:ind w:firstLine="0"/>
      </w:pPr>
      <w:r>
        <w:rPr>
          <w:rFonts w:ascii="黑体" w:hAnsi="黑体" w:eastAsia="黑体"/>
          <w:b/>
          <w:color w:val="000000"/>
          <w:sz w:val="30"/>
        </w:rPr>
        <w:t>2.2 基于深度学习的多模态遥感图像分类研究现状</w:t>
      </w:r>
    </w:p>
    <w:p>
      <w:pPr>
        <w:spacing w:line="360" w:lineRule="auto" w:after="0"/>
        <w:ind w:firstLine="420"/>
      </w:pPr>
      <w:r>
        <w:rPr>
          <w:rFonts w:ascii="宋体" w:hAnsi="宋体" w:eastAsia="宋体"/>
          <w:b w:val="0"/>
          <w:color w:val="000000"/>
          <w:sz w:val="24"/>
        </w:rPr>
        <w:t>随着深度学习方法在计算机视觉领域的广泛应用，其强大的特征提取能力也迅速拓展至遥感图像分析任务。与传统方法相比，深度学习方法无需依赖手工构造特征，而是能够端到端地从数据中自动学习具有判别性的深层表征。下面分别介绍深度学习以及其在多模态遥感图像分类中的研究现状。</w:t>
      </w:r>
    </w:p>
    <w:p>
      <w:pPr>
        <w:spacing w:before="120" w:after="40"/>
        <w:ind w:firstLine="0"/>
      </w:pPr>
      <w:r>
        <w:rPr>
          <w:rFonts w:ascii="黑体" w:hAnsi="黑体" w:eastAsia="黑体"/>
          <w:b/>
          <w:color w:val="000000"/>
          <w:sz w:val="28"/>
        </w:rPr>
        <w:t>2.2.1 深度学习理论研究现状</w:t>
      </w:r>
    </w:p>
    <w:p>
      <w:pPr>
        <w:spacing w:line="360" w:lineRule="auto" w:after="0"/>
        <w:ind w:firstLine="420"/>
      </w:pPr>
      <w:r>
        <w:rPr>
          <w:rFonts w:ascii="宋体" w:hAnsi="宋体" w:eastAsia="宋体"/>
          <w:b w:val="0"/>
          <w:color w:val="000000"/>
          <w:sz w:val="24"/>
        </w:rPr>
        <w:t>自从2006年Hinton等人提出使用逐层训练的方法训练深度置信网络（Deep Belief Network, DBN）以来，深度学习重新成为人工智能研究的热点[19]。深度学习通过多层的非线性变换对高维数据进行建模，能够自动从原始数据中提取出更加抽象和判别性强的特征，在计算机视觉、语音识别、自然语言处理等多个领域取得了巨大成功[20]。常见的深度学习模型包括堆栈自动编码机（Stacked Auto-Encoder, SAE）[21]、卷积神经网络（Convolutional Neural Network, CNN）[22]、循环神经网络（Recurrent Neural Network, RNN）[23]等。</w:t>
      </w:r>
    </w:p>
    <w:p>
      <w:pPr>
        <w:spacing w:line="360" w:lineRule="auto" w:after="0"/>
        <w:ind w:firstLine="420"/>
      </w:pPr>
      <w:r>
        <w:rPr>
          <w:rFonts w:ascii="宋体" w:hAnsi="宋体" w:eastAsia="宋体"/>
          <w:b w:val="0"/>
          <w:color w:val="000000"/>
          <w:sz w:val="24"/>
        </w:rPr>
        <w:t>卷积神经网络是一种深度前馈神经网络。其设计灵感源于上世纪中叶神经科学的发现，大脑视觉皮层采用分层处理机制，不同层级的神经元分别学习从边缘等简单特征到复杂抽象特征的不同表示。早在1989年，LeCun等人提出了LeNet-5网络，用于手写数字识别[22]。后来CNN不断发展，Krizhevsky等人在2012年提出了深度CNN结构AlexNet，在ImageNet图像识别比赛中大幅超越传统方法，深度学习自此广泛应用于计算机视觉[24]。为了解决梯度消失问题，He等人提出ResNet引入了残差连接机制，使得网络深度得以加深[25]。卷积神经网络利用局部连接和参数共享机制，有效降低了模型复杂度，减轻了过拟合和训练难度，增强了特征提取能力，逐渐成为计算机视觉中最广泛使用的网络模型。</w:t>
      </w:r>
    </w:p>
    <w:p>
      <w:pPr>
        <w:spacing w:line="360" w:lineRule="auto" w:after="0"/>
        <w:ind w:firstLine="420"/>
      </w:pPr>
      <w:r>
        <w:rPr>
          <w:rFonts w:ascii="宋体" w:hAnsi="宋体" w:eastAsia="宋体"/>
          <w:b w:val="0"/>
          <w:color w:val="000000"/>
          <w:sz w:val="24"/>
        </w:rPr>
        <w:t>随着研究深入，学者们逐步认识到传统CNN在建模长距离依赖关系方法存在不足。Transformer是一种基于自注意力机制的序列模型，可以建模输入数据的长距离依赖关系，同时具备并行计算优势，大大提高计算效率。近年来，随着Transformer模型在自然语言处理领域（Natural Language Processing, NLP）的成功[26]，研究者开始探索其在视觉领域的应用，将Transformer逐步引入目标检测[27]、语义分割[28]、图像识别[29]等任务。Vision Transformer（ViT）[29]通过将图像划分为序列处理，通过多头自注意力机制进行全局建模，在大规模数据集上展现出与传统CNN模型相当甚至更强的性能。随后，Swin Transformer[30]、Data-efficient image Transformer（DeiT）[31]、Pyramid Vision Transformer（PVT）[32]等多种改进架构陆续提出，分别在效率、分辨率适应性和多尺度建模等方面进行优化，使得Transformer模型逐渐成为计算机视觉领域与CNN并驾齐驱的重要方法。</w:t>
      </w:r>
    </w:p>
    <w:p>
      <w:pPr>
        <w:spacing w:line="360" w:lineRule="auto" w:after="0"/>
        <w:ind w:firstLine="420"/>
      </w:pPr>
      <w:r>
        <w:rPr>
          <w:rFonts w:ascii="宋体" w:hAnsi="宋体" w:eastAsia="宋体"/>
          <w:b w:val="0"/>
          <w:color w:val="000000"/>
          <w:sz w:val="24"/>
        </w:rPr>
        <w:t>随着深度学习对数据规模的依赖不断加剧，自监督学习成为解决标注数据稀缺问题的关键手段。自监督学习方法旨在从未标注数据中构造预训练任务，训练模型较高的特征提取能力，提升下游任务的性能。这些模型主要使用两种自监督学习目标来进行预训练以达到上述目的：对比学习（Contrastive Learning, CL）和掩蔽图像建模（Masked Image Modeling, MIM）。对比学习方法如SimCLR[33]和MoCo[34]通过最大化同一样本的不同视图之间的相似性和最小化不同样本的视图之间的相似性来学习图像的深层特征，推动了视觉预训练模型的进展。掩蔽图像建模如MAE（Masked Autoencoder）借鉴BERT[35]的思路，旨在从掩蔽的输入图像中重建原始输入图像或特征[36]。这两种自监督训练方法可以从大规模无标注数据中获得对下游任务有益的特征表示，从而提高模型的精度与泛化能力。目前构建基于Transformer的通用模型已经成为深度学习领域的重要研究方向。</w:t>
      </w:r>
    </w:p>
    <w:p>
      <w:pPr>
        <w:spacing w:before="120" w:after="40"/>
        <w:ind w:firstLine="0"/>
      </w:pPr>
      <w:r>
        <w:rPr>
          <w:rFonts w:ascii="黑体" w:hAnsi="黑体" w:eastAsia="黑体"/>
          <w:b/>
          <w:color w:val="000000"/>
          <w:sz w:val="28"/>
        </w:rPr>
        <w:t>2.2.2 深度学习在多模态遥感图像分类中的应用研究现状</w:t>
      </w:r>
    </w:p>
    <w:p>
      <w:pPr>
        <w:spacing w:line="360" w:lineRule="auto" w:after="0"/>
        <w:ind w:firstLine="420"/>
      </w:pPr>
      <w:r>
        <w:rPr>
          <w:rFonts w:ascii="宋体" w:hAnsi="宋体" w:eastAsia="宋体"/>
          <w:b w:val="0"/>
          <w:color w:val="000000"/>
          <w:sz w:val="24"/>
        </w:rPr>
        <w:t>随着多模态遥感数据的不断丰富和深度学习理论的飞速发展，基于深度学习的多模态遥感图像分类方法已成为遥感智能分析的研究热点。相较于传统方法，深度学习能够自动提取多模态数据之间的高层次语义特征，有效建模模态间复杂的非线性关系，显著提升分类性能。</w:t>
      </w:r>
    </w:p>
    <w:p>
      <w:pPr>
        <w:spacing w:line="360" w:lineRule="auto" w:after="0"/>
        <w:ind w:firstLine="420"/>
      </w:pPr>
      <w:r>
        <w:rPr>
          <w:rFonts w:ascii="宋体" w:hAnsi="宋体" w:eastAsia="宋体"/>
          <w:b w:val="0"/>
          <w:color w:val="000000"/>
          <w:sz w:val="24"/>
        </w:rPr>
        <w:t>早期研究多采用卷积神经网络分别对不同模态进行特征提取，并通过简单拼接或融合模块进行信息整合。2017年，Chen等人使用CNN进行双路特征提取，在融合阶段将不同模态的特征进行简单拼接[37]。Xu等人在2018年提出基于双分支卷积神经网络模型，分别提取高光谱图像的空间-光谱特征和激光雷达数据的空间特征，再通过全连接层进行拼接，显著提升分类精度[38]。除了卷积神经网络外，Benedetti等人设计了基于RNN和CNN的多模态分类模型，在多个数据集上有良好表现[39]。</w:t>
      </w:r>
    </w:p>
    <w:p>
      <w:pPr>
        <w:spacing w:line="360" w:lineRule="auto" w:after="0"/>
        <w:ind w:firstLine="420"/>
      </w:pPr>
      <w:r>
        <w:rPr>
          <w:rFonts w:ascii="宋体" w:hAnsi="宋体" w:eastAsia="宋体"/>
          <w:b w:val="0"/>
          <w:color w:val="000000"/>
          <w:sz w:val="24"/>
        </w:rPr>
        <w:t>随后，基于多尺度的特征融合逐渐成为主流方向。Song等人通过融合不同尺度的空域和频域特征，从不同模态的图像中挖掘互补信息[40]。Feng等人动态选择适当的尺寸特征，利用多尺度特征生成互补的联合特征，显著提高了分类精度[41]。此外，使用重建策略加强特征融合的方法也受到了研究者的青睐。Hong等人[42]提出了一种编码器-解码器架构，对多模态输入进行重建。为了加深模态之间的交互，Xu等人在模型中引入了交叉重建的策略，旨在让不同模态的特征更紧凑的融合在一起[43]。除此之外，图卷积神经网络[44]、生成对抗网络[45]等网络模型在多模态遥感图像分类领域也有着广泛应用。</w:t>
      </w:r>
    </w:p>
    <w:p>
      <w:pPr>
        <w:spacing w:line="360" w:lineRule="auto" w:after="0"/>
        <w:ind w:firstLine="420"/>
      </w:pPr>
      <w:r>
        <w:rPr>
          <w:rFonts w:ascii="宋体" w:hAnsi="宋体" w:eastAsia="宋体"/>
          <w:b w:val="0"/>
          <w:color w:val="000000"/>
          <w:sz w:val="24"/>
        </w:rPr>
        <w:t>近年来，Transformer在多模态遥感图像分类中的应用成为研究热点。得益于自注意力机制，Transformer具备建模长距离依赖关系和跨模态交互的天然优势，展现出对复杂异构数据建模的巨大潜力。Xue等人[46]和Roy等人[47]首次尝试通过改进Transformer架构以融合高光谱和LiDAR数据，分别从结构设计和注意力机制出发，提升模型的跨模态表达能力。考虑到模态间的异构性，Zhang等人提出了一种基于局部特征交互的多模态融合架构，有效缓解了标准自注意力机制下对多模态信息同质化处理的问题[48]。为了有效提取多模态异构特征并减少信息损失，Zhao等人将分数傅里叶变换与Transformer结合，显著加速Transformer架构，同时高效地学习有价值的上下文信息[49]。而Yao等人[50]提出了适用于多模态和跨模态场景的扩展Transformer模型，该方法不依赖具体模态类型，具备更强的适应性和实用性。此外，还有人探索将Transformer与CNN结合，以共同进行特征提取，充分发挥两种模型的优势。例如，[51]中使用了CNN进行局部空间特征学习，使用视觉Transformer进行全局光谱特征学习，同时提升了模型对局部信息和全局信息的感知能力。Zhao等人将CNN与Transformer顺序构造，引入局部卷积感受野以提升空间特征捕获能力[52]。</w:t>
      </w:r>
    </w:p>
    <w:p>
      <w:pPr>
        <w:spacing w:line="360" w:lineRule="auto" w:after="0"/>
        <w:ind w:firstLine="420"/>
      </w:pPr>
      <w:r>
        <w:rPr>
          <w:rFonts w:ascii="宋体" w:hAnsi="宋体" w:eastAsia="宋体"/>
          <w:b w:val="0"/>
          <w:color w:val="000000"/>
          <w:sz w:val="24"/>
        </w:rPr>
        <w:t>此外，自监督学习与对比学习也逐渐在融合模型中应用。如Hang等人利用对比学习引导多模态网络学习光谱、空间与高度表征一致性，改善小样本下的融合鲁棒性[53]。上述研究均体现出深度学习在多模态遥感分类中融合机制的多样性、深层性和适用性。</w:t>
      </w:r>
    </w:p>
    <w:p>
      <w:pPr>
        <w:spacing w:before="160" w:after="80"/>
        <w:ind w:firstLine="0"/>
      </w:pPr>
      <w:r>
        <w:rPr>
          <w:rFonts w:ascii="黑体" w:hAnsi="黑体" w:eastAsia="黑体"/>
          <w:b/>
          <w:color w:val="000000"/>
          <w:sz w:val="30"/>
        </w:rPr>
        <w:t>2.3 未知类分类方法研究现状</w:t>
      </w:r>
    </w:p>
    <w:p>
      <w:pPr>
        <w:spacing w:line="360" w:lineRule="auto" w:after="0"/>
        <w:ind w:firstLine="420"/>
      </w:pPr>
      <w:r>
        <w:rPr>
          <w:rFonts w:ascii="宋体" w:hAnsi="宋体" w:eastAsia="宋体"/>
          <w:b w:val="0"/>
          <w:color w:val="000000"/>
          <w:sz w:val="24"/>
        </w:rPr>
        <w:t>随着遥感技术的迅速发展，遥感图像的获取维度日益丰富，催生了多模态遥感图像的广泛应用。然而，传统分类方法普遍依赖于封闭集假设，即训练与测试类别空间完全一致。在实际应用中，这一前提往往难以成立，因为随着数据获取和时间推移，新的地物类型会不断出现，导致模型对未知类缺乏分类和判别能力。这一问题促使学术界逐渐将研究重点转向未知类分类，希望在保持已知类识别精度的同时，具备对新类别的分类与区分能力。</w:t>
      </w:r>
    </w:p>
    <w:p>
      <w:pPr>
        <w:spacing w:before="120" w:after="40"/>
        <w:ind w:firstLine="0"/>
      </w:pPr>
      <w:r>
        <w:rPr>
          <w:rFonts w:ascii="黑体" w:hAnsi="黑体" w:eastAsia="黑体"/>
          <w:b/>
          <w:color w:val="000000"/>
          <w:sz w:val="28"/>
        </w:rPr>
        <w:t>2.3.1 高光谱图像中的未知类分类研究现状</w:t>
      </w:r>
    </w:p>
    <w:p>
      <w:pPr>
        <w:spacing w:line="360" w:lineRule="auto" w:after="0"/>
        <w:ind w:firstLine="420"/>
      </w:pPr>
      <w:r>
        <w:rPr>
          <w:rFonts w:ascii="宋体" w:hAnsi="宋体" w:eastAsia="宋体"/>
          <w:b w:val="0"/>
          <w:color w:val="000000"/>
          <w:sz w:val="24"/>
        </w:rPr>
        <w:t>随着高光谱成像技术的发展，其在农业监测、城市规划、环境检测等领域的应用日益广泛。然而大多数高光谱图像分类方法均假设训练集与测试集包含相同的类别，无法应对实际应用中可能出现的未知类别样本。这一问题促使研究者将未知类分类方法引入高光谱图像分类任务，即在测试阶段判别未知类别。</w:t>
      </w:r>
    </w:p>
    <w:p>
      <w:pPr>
        <w:spacing w:line="360" w:lineRule="auto" w:after="0"/>
        <w:ind w:firstLine="420"/>
      </w:pPr>
      <w:r>
        <w:rPr>
          <w:rFonts w:ascii="宋体" w:hAnsi="宋体" w:eastAsia="宋体"/>
          <w:b w:val="0"/>
          <w:color w:val="000000"/>
          <w:sz w:val="24"/>
        </w:rPr>
        <w:t>近年来，高光谱图像未知类分类研究不断取得进展，通过引入有效检测未知类别的策略，逐渐突破了传统闭集假设的限制。早期研究多基于在现有分类器中加入阈值判定机制实现未知类检测，但此类方法通常对类内光谱差异和噪声较为敏感，导致在复杂遥感场景下性能下降。为克服这一不足，研究者提出了基于原型网络的方法，通过学习类别原型来提取判别性特征。例如，Du等人提出了基于加权皮尔逊距离的特征不变性网络[54]和Xie等人提出了结合对比聚类模块的特征一致性网络[55]，都通过原型网络提取判别性特征，并引入新的度量方式提升已知类与未知类的区分能力。</w:t>
      </w:r>
    </w:p>
    <w:p>
      <w:pPr>
        <w:spacing w:line="360" w:lineRule="auto" w:after="0"/>
        <w:ind w:firstLine="420"/>
      </w:pPr>
      <w:r>
        <w:rPr>
          <w:rFonts w:ascii="宋体" w:hAnsi="宋体" w:eastAsia="宋体"/>
          <w:b w:val="0"/>
          <w:color w:val="000000"/>
          <w:sz w:val="24"/>
        </w:rPr>
        <w:t>除了基于原型网络的方法外，基于重建的框架也在高光谱未知类分类中展现出良好的效果。Yue等人提出了一种光谱-空间潜在特征重建网络[56]通过联合重构光谱特征和空间纹理，保留了分辨未知类的有用信息，从而在不降低已知类分类精度的情况下提升了对未知类样本的判别能力。此外，Bi等人将生成对抗网络与动态阈值结合[57]，通过生成判别器估计数据与已知分布的差异，提升未知类别检测的鲁棒性。随着网络架构的发展，更具表达能力的未知类分类模型不断涌现。例如，基于分数阶傅里叶变换的网络[58]能够拓展特征多样性并捕获光谱相位相关性，结合互逆点学习的类多层感知机网络[59]通过显示建模类别外空间，实现已知与未知类别的自适应边界扩展和动态阈值调整。这些创新方法在高维特征空间中拓展了决策边界，从而显著未知类检测率。</w:t>
      </w:r>
    </w:p>
    <w:p>
      <w:pPr>
        <w:spacing w:line="360" w:lineRule="auto" w:after="0"/>
        <w:ind w:firstLine="420"/>
      </w:pPr>
      <w:r>
        <w:rPr>
          <w:rFonts w:ascii="宋体" w:hAnsi="宋体" w:eastAsia="宋体"/>
          <w:b w:val="0"/>
          <w:color w:val="000000"/>
          <w:sz w:val="24"/>
        </w:rPr>
        <w:t>与此同时，元学习策略也被引入到高光谱未知类分类任务中，以提升模型的适应性和泛化性。例如，基于极值分布的元学习框架[60]结合Weibull分布建模和开集四元组损失，在保持类别流形拓扑一致性的同时，实现了对未知类别的精细化检测，并具备较强的跨数据集迁移能力。这类方法有效弥合了数据集特定调优与跨域泛化之间的差距，对遥感实际应用具有重要意义。</w:t>
      </w:r>
    </w:p>
    <w:p>
      <w:pPr>
        <w:spacing w:line="360" w:lineRule="auto" w:after="0"/>
        <w:ind w:firstLine="420"/>
      </w:pPr>
      <w:r>
        <w:rPr>
          <w:rFonts w:ascii="宋体" w:hAnsi="宋体" w:eastAsia="宋体"/>
          <w:b w:val="0"/>
          <w:color w:val="000000"/>
          <w:sz w:val="24"/>
        </w:rPr>
        <w:t>尽管高光谱图像的未知类分类方法取得了诸多进展，但仍主要停留在检测未知类别的层面，缺乏在无标注条件下进一步完成新类别识别的能力。因此，如何在保持已知类精度的同时，实现对未知类的有效分类与适应，仍是未来研究的核心难点。</w:t>
      </w:r>
    </w:p>
    <w:p>
      <w:pPr>
        <w:spacing w:before="120" w:after="40"/>
        <w:ind w:firstLine="0"/>
      </w:pPr>
      <w:r>
        <w:rPr>
          <w:rFonts w:ascii="黑体" w:hAnsi="黑体" w:eastAsia="黑体"/>
          <w:b/>
          <w:color w:val="000000"/>
          <w:sz w:val="28"/>
        </w:rPr>
        <w:t>2.3.2 遥感图像中的未知类分类研究现状</w:t>
      </w:r>
    </w:p>
    <w:p>
      <w:pPr>
        <w:spacing w:line="360" w:lineRule="auto" w:after="0"/>
        <w:ind w:firstLine="420"/>
      </w:pPr>
      <w:r>
        <w:rPr>
          <w:rFonts w:ascii="宋体" w:hAnsi="宋体" w:eastAsia="宋体"/>
          <w:b w:val="0"/>
          <w:color w:val="000000"/>
          <w:sz w:val="24"/>
        </w:rPr>
        <w:t>在遥感图像分类中，未知类问题不仅包括对未知类别的判别，还涉及在缺乏标注样本的情况下对其进行准确识别与分类。相比只进行已知类、未知类区分的方法，更具挑战性的是如何在测试阶段直接对未见过的类别完成有效分类，同时保证对已知类和未知类的均衡性能[61]。这一点对遥感任务尤为重要，因为实际场景下标注成本高昂，且地物类别随时间和环境不断变化。</w:t>
      </w:r>
    </w:p>
    <w:p>
      <w:pPr>
        <w:spacing w:line="360" w:lineRule="auto" w:after="0"/>
        <w:ind w:firstLine="420"/>
      </w:pPr>
      <w:r>
        <w:rPr>
          <w:rFonts w:ascii="宋体" w:hAnsi="宋体" w:eastAsia="宋体"/>
          <w:b w:val="0"/>
          <w:color w:val="000000"/>
          <w:sz w:val="24"/>
        </w:rPr>
        <w:t>解决未知类分类的关键在于构建能够连接已知类与未知类的语义桥梁，通常借助语义嵌入或辅助信息来实现。常见来源包括预定义属性、从大规模语料或维基百科训练得到的词向量等，这些语义信息将视觉特征和语义描述联系起来，促进知识迁移与泛化能力提升[62-64]。主流方法往往通过将视觉特征与语义嵌入投影到一个共同的潜在空间，使得样本能够围绕其对应的语义描述聚类；推理时通过在该空间内寻找最近的语义描述来赋予未知类样本类别标签[65]。为了提升效果，研究者在嵌入空间和正则化策略等方面做了大量探索[66, 67]。与此同时，生成式方法（如生成对抗网络[68]、变分自编码器[69]等）通过从语义描述合成类别视觉特征，将未知类分类问题重构为常规监督分类任务，从而显著缓解了数据不足带来的限制，这也成为了近年来的重要方向[70, 71]。</w:t>
      </w:r>
    </w:p>
    <w:p>
      <w:pPr>
        <w:spacing w:line="360" w:lineRule="auto" w:after="0"/>
        <w:ind w:firstLine="420"/>
      </w:pPr>
      <w:r>
        <w:rPr>
          <w:rFonts w:ascii="宋体" w:hAnsi="宋体" w:eastAsia="宋体"/>
          <w:b w:val="0"/>
          <w:color w:val="000000"/>
          <w:sz w:val="24"/>
        </w:rPr>
        <w:t>在遥感领域，对未知类的研究最早集中在场景分类任务上。早期工作借助Word2Vec等词向量构建类别间语义关系并据此进行知识传播与推断[72]。随后研究引入了半监督对齐策略以改善域间迁移与语义一致性[73]。针对遥感图像的特殊属性（如空间尺度变化、背景复杂性、多视角与多光谱信息），研究者提出了距离约束的语义自编码器[74]、利用预训练语言模型（如Bidirectional Encoder Representations from Transformers, BERT）增强语义表征的Transformer框架[75]、以及基于生成对抗网络的视觉特征生成方法[76]，均旨在缩小可见类与未知类之间的域差距并提升泛化能力。近年视觉语言模型（如Contrastive Language-Image Pre-training, CLIP）在自然图像领域取得突破，随之被引入遥感领域研究，成为新的潜力方向[77]。例如，Xu等人使用CLIP进行自动属性注释，并借助Transformer来关联局部图像区域并合并上下文信息以提升预测精度[78]。</w:t>
      </w:r>
    </w:p>
    <w:p>
      <w:pPr>
        <w:spacing w:line="360" w:lineRule="auto" w:after="0"/>
        <w:ind w:firstLine="420"/>
      </w:pPr>
      <w:r>
        <w:rPr>
          <w:rFonts w:ascii="宋体" w:hAnsi="宋体" w:eastAsia="宋体"/>
          <w:b w:val="0"/>
          <w:color w:val="000000"/>
          <w:sz w:val="24"/>
        </w:rPr>
        <w:t>尽管已有研究在遥感场景分类中展示了未知类分类的可行性，但其在多模态遥感图像中的应用仍面临挑战。多模态数据具有高光谱维度、模态差异和标注稀缺等特性，这对语义嵌入构建、视觉和语义映射策略以及模态间信息互补的利用提出了更高要求。目前相关研究仍较有限，且多集中在简单的语义对齐或基于词向量的直接映射，缺乏对光谱特征独特性和空间上下文协同建模的深入考虑。因此，未来工作亟需开发适配多模态特征结构的语义表示，建立更加稳健的已知类与未知类关系，并探索在实际应用中如何平衡二者的判别能力。</w:t>
      </w:r>
    </w:p>
    <w:p>
      <w:pPr>
        <w:spacing w:before="160" w:after="80"/>
        <w:ind w:firstLine="0"/>
      </w:pPr>
      <w:r>
        <w:rPr>
          <w:rFonts w:ascii="黑体" w:hAnsi="黑体" w:eastAsia="黑体"/>
          <w:b/>
          <w:color w:val="000000"/>
          <w:sz w:val="30"/>
        </w:rPr>
        <w:t>2.4 视觉语言模型研究现状</w:t>
      </w:r>
    </w:p>
    <w:p>
      <w:pPr>
        <w:spacing w:line="360" w:lineRule="auto" w:after="0"/>
        <w:ind w:firstLine="420"/>
      </w:pPr>
      <w:r>
        <w:rPr>
          <w:rFonts w:ascii="宋体" w:hAnsi="宋体" w:eastAsia="宋体"/>
          <w:b w:val="0"/>
          <w:color w:val="000000"/>
          <w:sz w:val="24"/>
        </w:rPr>
        <w:t>随着深度学习的快速发展，视觉语言模型已成为人工智能领域的重要研究方向。这类模型通过融合文本、图像模态数据，突破传统单模态系统的局限性，在跨模态理解、生成和推理任务中展现出显著优势。其核心目标在于通过联合建模图像与文本模态，学习到跨模态共享的语义表示，从而实现图文检索、视觉问答、图像生成等多种任务。根据视觉语言模型的学习范式，将其分为基于模态对齐和基于自然语言指令的两类方法。</w:t>
      </w:r>
    </w:p>
    <w:p>
      <w:pPr>
        <w:spacing w:line="360" w:lineRule="auto" w:after="0"/>
        <w:ind w:firstLine="420"/>
      </w:pPr>
      <w:r>
        <w:rPr>
          <w:rFonts w:ascii="宋体" w:hAnsi="宋体" w:eastAsia="宋体"/>
          <w:b w:val="0"/>
          <w:color w:val="000000"/>
          <w:sz w:val="24"/>
        </w:rPr>
        <w:t>早期，多模态大模型主要研究基于Transformer模型的模态对齐方法。Radford等人开发的CLIP模型开创性地采用对比学习策略，在大规模图文对数据集上进行预训练，实现了语言-视觉语义对齐[77]。在此基础上，Alayrac等人提出Flamingo模型，引入门控交叉注意力机制实现视觉特征到语言模型的渐进式融合，已显著提升少样本学习能力[79]。Li等人提出的BLIP系列模型标志着多模态建模进入联合优化阶段[80]，其改进版本BLIP-2创新性地引入Q-Former模块，构建可学习的视觉-语言查询接口，冻结视觉编码器和联合微调有效解决模态对齐与训练效率的平衡问题[81]。</w:t>
      </w:r>
    </w:p>
    <w:p>
      <w:pPr>
        <w:spacing w:line="360" w:lineRule="auto" w:after="0"/>
        <w:ind w:firstLine="420"/>
      </w:pPr>
      <w:r>
        <w:rPr>
          <w:rFonts w:ascii="宋体" w:hAnsi="宋体" w:eastAsia="宋体"/>
          <w:b w:val="0"/>
          <w:color w:val="000000"/>
          <w:sz w:val="24"/>
        </w:rPr>
        <w:t>随着大语言模型在文本理解与生成任务中的突破，视觉语言模型研究转向指令微调范式。该范式通过构建指令-响应对进行监督微调，使模型具备根据自然语言指令完成跨模态任务的能力。代表性的多模态大模型包括LLaVA[82]、MiniGPT-4[83]和InstructBLIP[84]等。其中LLaVA通过线性投影层将CLIP视觉特征对齐至LLM词嵌入空间，再利用GPT-4生成的指令-响应数据微调语言模型。MiniGPT-4引入通过特征对齐预训练及对话格式数据微调两阶段对齐策略解决视觉-语言模态失配问题。InstructBLIP通过设计指令感知的特征提取器在视觉问答基准测试中已取得较好效果。最近，DeepSeek系列模型的突破性进展将多模态研究推向新阶段。Liu等人提出的DeepSeek-V2采用动态路由注意力机制，通过可微分门控网络实现跨模态计算路径的动态选择，根据输入内容的语义特征自动激活相关模态处理单元，为视觉语言模型的实用化部署提供了新思路[85]。</w:t>
      </w:r>
    </w:p>
    <w:p>
      <w:pPr>
        <w:spacing w:before="160" w:after="80"/>
        <w:ind w:firstLine="0"/>
      </w:pPr>
      <w:r>
        <w:rPr>
          <w:rFonts w:ascii="黑体" w:hAnsi="黑体" w:eastAsia="黑体"/>
          <w:b/>
          <w:color w:val="000000"/>
          <w:sz w:val="30"/>
        </w:rPr>
        <w:t>2.5 国内外文献综述简析</w:t>
      </w:r>
    </w:p>
    <w:p>
      <w:pPr>
        <w:spacing w:line="360" w:lineRule="auto" w:after="0"/>
        <w:ind w:firstLine="420"/>
      </w:pPr>
      <w:r>
        <w:rPr>
          <w:rFonts w:ascii="宋体" w:hAnsi="宋体" w:eastAsia="宋体"/>
          <w:b w:val="0"/>
          <w:color w:val="000000"/>
          <w:sz w:val="24"/>
        </w:rPr>
        <w:t>在多模态遥感图像处理技术中，分类能够充分利用不同模态数据的互补信息，旨在融合不同数据源的互补信息，实现对地物类别的精确分类与像素级标注，是遥感信息提取与应用的核心技术，长期以来受到遥感领域的广泛关注。</w:t>
      </w:r>
    </w:p>
    <w:p>
      <w:pPr>
        <w:spacing w:line="360" w:lineRule="auto" w:after="0"/>
        <w:ind w:firstLine="420"/>
      </w:pPr>
      <w:r>
        <w:rPr>
          <w:rFonts w:ascii="宋体" w:hAnsi="宋体" w:eastAsia="宋体"/>
          <w:b w:val="0"/>
          <w:color w:val="000000"/>
          <w:sz w:val="24"/>
        </w:rPr>
        <w:t>早期的多模态遥感图像分类主要依赖特征工程，通过主成分分析、独立成分分析、流形学习等方法提取高光谱数据的光谱特征，并结合形态学特征、Gabor滤波、小波变换等空间特征提取技术。在特征融合方面，早期多采用特征拼接，而后发展出基于图模型、子空间正则化、流形对齐等策略实现跨模态信息整合，提升了信息互补性与判别能力。最终利用K近邻、随机森林或支持向量机等分类器完成分类。这类经典方法实现简单，特征可解释性强，但高度依赖人工设计，融合策略静态固定，且特征提取与分类过程分离，限制了跨模态特征的表达能力与泛化性能。</w:t>
      </w:r>
    </w:p>
    <w:p>
      <w:pPr>
        <w:spacing w:line="360" w:lineRule="auto" w:after="0"/>
        <w:ind w:firstLine="420"/>
      </w:pPr>
      <w:r>
        <w:rPr>
          <w:rFonts w:ascii="宋体" w:hAnsi="宋体" w:eastAsia="宋体"/>
          <w:b w:val="0"/>
          <w:color w:val="000000"/>
          <w:sz w:val="24"/>
        </w:rPr>
        <w:t>随着深度学习的发展，研究者开始探索端到端的多模态遥感分类框架，利用卷积神经网络、循环神经网络等自动从原始数据中学习高层次特征，显著增强了非线性关系建模能力。融合策略也从单一的特征拼接发展到多尺度特征融合、跨模态重建、图神经网络与生成对抗网络等多样化方法。近年来，Transformer因其强大的自注意力机制能够同时建模长距离空间依赖与光谱相关性，被逐渐引入多模态遥感分类任务，并与CNN结合形成混合架构，实现了对局部细节与全局依赖的兼顾；同时，自监督与对比学习为小样本和无标注场景提供了有效的预训练手段。然而，由于Transformer缺乏归纳偏置，其在样本有限的情况下性能受限，在多模态遥感场景下需对预训练方法应用进行深入研究。</w:t>
      </w:r>
    </w:p>
    <w:p>
      <w:pPr>
        <w:spacing w:line="360" w:lineRule="auto" w:after="0"/>
        <w:ind w:firstLine="420"/>
      </w:pPr>
      <w:r>
        <w:rPr>
          <w:rFonts w:ascii="宋体" w:hAnsi="宋体" w:eastAsia="宋体"/>
          <w:b w:val="0"/>
          <w:color w:val="000000"/>
          <w:sz w:val="24"/>
        </w:rPr>
        <w:t>尽管深度学习方法在多模态遥感分类中取得了显著性能提升，但现有研究大多假设训练与测试数据类别一致，忽视了实际应用中会不断出现新的未知类别。因此，如何在保证已知类别识别精度的同时，有效发现并区分未知类别，已成为亟需解决的重要问题。针对未知类分类，现有工作主要有两类思路：一类方法侧重在测试阶段判别未知类别，常通过设置判别阈值、引入特征度量网络或结合特征重建与对抗学习来提高已知类与未知类之间的区分能力；另一类方法则尝试在缺乏标注样本的条件下对新类别进行直接分类，通常借助语义嵌入或生成模型来实现从已知类别向未知类别的知识迁移。在遥感场景分类领域，已有基于词向量的语义关系建模、语义自编码器的表征学习、预训练语言模型的语义增强、生成对抗网络的特征生成以及视觉语言模型的联合建模等探索，为未知类分类提供了多种技术路径。尽管未知类分类已经在遥感领域进行了初步研究，但是针对多模态遥感图像的未知类分类研究处于起步阶段，仍然存在以下问题：</w:t>
      </w:r>
    </w:p>
    <w:p>
      <w:pPr>
        <w:spacing w:line="360" w:lineRule="auto" w:after="0"/>
        <w:ind w:firstLine="420"/>
      </w:pPr>
      <w:r>
        <w:rPr>
          <w:rFonts w:ascii="宋体" w:hAnsi="宋体" w:eastAsia="宋体"/>
          <w:b w:val="0"/>
          <w:color w:val="000000"/>
          <w:sz w:val="24"/>
        </w:rPr>
        <w:t>（1）近年来，多模态遥感图像分类方法已经得到广泛研究，SAR、LiDAR和高光谱等数据的融合在一定程度上提升了分类精度。然而，这类方法仍面临跨模态语义对齐和互补信息挖潜不充分等问题。同时，大规模标注样本的获取代价高昂，使得现有方法难以充分利用海量无标注的遥感数据。此外，传统卷积神经网络在感受野与全局信息建模方面存在瓶颈，难以有效捕捉遥感影像中的长距离依赖与跨尺度关系。因此需要研究基于Transformer的多模态遥感图像预训练方法，为后续的未知类分类提供更加稳健的特征表示。</w:t>
      </w:r>
    </w:p>
    <w:p>
      <w:pPr>
        <w:spacing w:line="360" w:lineRule="auto" w:after="0"/>
        <w:ind w:firstLine="420"/>
      </w:pPr>
      <w:r>
        <w:rPr>
          <w:rFonts w:ascii="宋体" w:hAnsi="宋体" w:eastAsia="宋体"/>
          <w:b w:val="0"/>
          <w:color w:val="000000"/>
          <w:sz w:val="24"/>
        </w:rPr>
        <w:t>（2）现有的多模态遥感图像分类方法缺少未知类分类的方法。这些方法都是以测试集的所有地物类别包含在训练阶段中为前提，其分类器的输出类别空间固定于训练时的样本空间。当测试阶段出现未见类别时，模型会将其归入已知类别，无法将其正确分类。与此同时，遥感领域的未知类分类研究多局限于单模态任务上，缺乏针对多模态遥感数据的系统性方法探索，因此，对多模态遥感领域的未知类分类进行研究，目标在于构建已知类与未知类之间更加稳健的关联机制，从而实现对未知类的有效分类。</w:t>
      </w:r>
    </w:p>
    <w:p>
      <w:pPr>
        <w:spacing w:line="360" w:lineRule="auto" w:after="0"/>
        <w:ind w:firstLine="420"/>
      </w:pPr>
      <w:r>
        <w:rPr>
          <w:rFonts w:ascii="宋体" w:hAnsi="宋体" w:eastAsia="宋体"/>
          <w:b w:val="0"/>
          <w:color w:val="000000"/>
          <w:sz w:val="24"/>
        </w:rPr>
        <w:t>（3）现有方法通常将分类任务视为一次性学习过程，缺乏持续学习能力，一旦出现新的未知类，往往需要重新训练。由于遥感数据规模庞大、获取与处理成本高，重新训练不仅效率低下，而且还可能导致原有类别精度下降。此外，多模态遥感数据的复杂性进一步加剧了这一问题。遥感数据不仅覆盖范围广、获取周期长，而且往往以分批次、跨时间和跨区域的方式积累，难以在一次采集和标注中覆盖所有潜在类别。这意味着新的未知类别会不断涌现，模型必须具备动态适应的能力。因此，需要研究如何将持续学习和未知类分类相结合，构建能够扩展类别空间并保持稳定性能的多模态遥感分类框架。</w:t>
      </w:r>
    </w:p>
    <w:p>
      <w:pPr>
        <w:spacing w:before="240" w:after="120"/>
        <w:ind w:firstLine="0"/>
      </w:pPr>
      <w:r>
        <w:rPr>
          <w:rFonts w:ascii="黑体" w:hAnsi="黑体" w:eastAsia="黑体"/>
          <w:b/>
          <w:color w:val="000000"/>
          <w:sz w:val="32"/>
        </w:rPr>
        <w:t>3. 主要研究内容及研究方案</w:t>
      </w:r>
    </w:p>
    <w:p>
      <w:pPr>
        <w:spacing w:line="360" w:lineRule="auto" w:after="0"/>
        <w:ind w:firstLine="420"/>
      </w:pPr>
      <w:r>
        <w:rPr>
          <w:rFonts w:ascii="宋体" w:hAnsi="宋体" w:eastAsia="宋体"/>
          <w:b w:val="0"/>
          <w:color w:val="000000"/>
          <w:sz w:val="24"/>
        </w:rPr>
        <w:t>本章针对多模态遥感图像在实际分类应用中面临的对标注样本依赖性强、模态间特征差异显著以及难以有效识别未知类别等挑战，从主要研究内容和研究方案两个维度展开介绍。</w:t>
      </w:r>
    </w:p>
    <w:p>
      <w:pPr>
        <w:spacing w:before="160" w:after="80"/>
        <w:ind w:firstLine="0"/>
      </w:pPr>
      <w:r>
        <w:rPr>
          <w:rFonts w:ascii="黑体" w:hAnsi="黑体" w:eastAsia="黑体"/>
          <w:b/>
          <w:color w:val="000000"/>
          <w:sz w:val="30"/>
        </w:rPr>
        <w:t>3.1 主要研究内容</w:t>
      </w:r>
    </w:p>
    <w:p>
      <w:pPr>
        <w:spacing w:line="360" w:lineRule="auto" w:after="0"/>
        <w:ind w:firstLine="420"/>
      </w:pPr>
      <w:r>
        <w:rPr>
          <w:rFonts w:ascii="宋体" w:hAnsi="宋体" w:eastAsia="宋体"/>
          <w:b w:val="0"/>
          <w:color w:val="000000"/>
          <w:sz w:val="24"/>
        </w:rPr>
        <w:t>针对多模态遥感图像在实际分类应用中面临的对标注样本依赖性强、模态间特征差异显著以及在实际应用下难以有效识别未知类别等挑战，本课题将深入研究视觉语言模型辅助下多模态遥感图像像素级分类，旨在提升模型在多模态数据条件下的跨模态融合能力与未知类别识别能力，并增强在动态环境中的持续适应性。研究内容分为三个方面：第一部分主要研究基于Transformer的多模态遥感图像预训练方法，为多模态数据融合和跨模态特征建模提供坚实的特征基础，为后续未知类分类打下基础；第二部分主要研究基于视觉语言模型的多模态遥感图像未知类分类方法，利用视觉语言模型的先验知识解决多模态遥感图像中未见类别的分类问题；第三部分在第二部分的基础上，针对遥感数据规模庞大、类别持续增加的实际情况，主要研究基于持续学习的多模态遥感图像未知类分类方法，以确保在新的未知类别不断出现的情况下，模型保持分类性能的稳定性，并实现对新的未知类别的分类。</w:t>
      </w:r>
    </w:p>
    <w:p>
      <w:pPr>
        <w:spacing w:line="360" w:lineRule="auto" w:after="0"/>
        <w:ind w:firstLine="420"/>
      </w:pPr>
      <w:r>
        <w:rPr>
          <w:rFonts w:ascii="宋体" w:hAnsi="宋体" w:eastAsia="宋体"/>
          <w:b w:val="0"/>
          <w:color w:val="000000"/>
          <w:sz w:val="24"/>
        </w:rPr>
        <w:t>（1）基于Transformer的多模态遥感图像预训练方法。针对传统多模态遥感图像分类方法（如CNN方法）在建模模态间的长距离依赖关系方面存在不足，本课题首先研究基于Transformer模型的多模态遥感图像特征融合方法，设计适用于不同模态（如高光谱、LiDAR、SAR、光学等）特征提取的跨模态Transformer结构。为了解决Transformer缺少局部归纳偏置导致分类精度低的问题，本课题将研究基于跨模态掩蔽重建任务的预训练方法，通过在不同模态数据间进行联合重建，使得Transformer模型学习到模态间的互补特征关系，从而同时获得局部建模能力和跨模态关联建模能力。</w:t>
      </w:r>
    </w:p>
    <w:p>
      <w:pPr>
        <w:spacing w:line="360" w:lineRule="auto" w:after="0"/>
        <w:ind w:firstLine="420"/>
      </w:pPr>
      <w:r>
        <w:rPr>
          <w:rFonts w:ascii="宋体" w:hAnsi="宋体" w:eastAsia="宋体"/>
          <w:b w:val="0"/>
          <w:color w:val="000000"/>
          <w:sz w:val="24"/>
        </w:rPr>
        <w:t>（2）基于视觉语言模型的多模态遥感图像未知类分类方法。现有多模态遥感图像分类方法普遍假设测试数据中所有类别均在训练阶段出现，因为无法有效识别训练阶段中未出现的新类别。针对这一问题，本课题将研究把对象级分类的视觉语言模型迁移至像素级多模态遥感图像分类的技术路线，探索利用预训练视觉语言模型的先验知识，在多模态特征空间中建立已知类别、未知类别与图像样本特征之间的映射关系，从而在保持已知类别高精度分类的同时，实现未知类别的有效分类。</w:t>
      </w:r>
    </w:p>
    <w:p>
      <w:pPr>
        <w:spacing w:line="360" w:lineRule="auto" w:after="0"/>
        <w:ind w:firstLine="420"/>
      </w:pPr>
      <w:r>
        <w:rPr>
          <w:rFonts w:ascii="宋体" w:hAnsi="宋体" w:eastAsia="宋体"/>
          <w:b w:val="0"/>
          <w:color w:val="000000"/>
          <w:sz w:val="24"/>
        </w:rPr>
        <w:t>（3）基于持续学习的多模态遥感图像未知类分类方法。现有多模态遥感图像分类方法在面对持续到来的新任务和新类别时，往往假设训练阶段能够覆盖所有目标类别，这使得模型在实际动态环境中难以适应不断扩展的类别集合。同时，传统方法在学习新类别的过程中容易产生灾难性遗忘，导致对已学类别的分类精度显著下降，从而限制了模型在真实遥感应用中的长期有效性。针对上述问题，本课题将研究基于持续学习的多模态遥感图像未知类分类方法。具体而言，将在已有的视觉语言模型多模态分类框架基础上，引入混合专家适配器实现模型动态扩展，并结合激活-冻结平衡策略，在持续任务中保持旧知识的判别能力，同时高效学习新未知类别特征，对分阶段到来的未知类进行持续分类。该方法旨在构建能够在任务序列中不断自适应的分类模型，实现已知类的稳健分类与未知类的有效持续学习。</w:t>
      </w:r>
    </w:p>
    <w:p>
      <w:pPr>
        <w:spacing w:before="160" w:after="80"/>
        <w:ind w:firstLine="0"/>
      </w:pPr>
      <w:r>
        <w:rPr>
          <w:rFonts w:ascii="黑体" w:hAnsi="黑体" w:eastAsia="黑体"/>
          <w:b/>
          <w:color w:val="000000"/>
          <w:sz w:val="30"/>
        </w:rPr>
        <w:t>3.2 研究方案</w:t>
      </w:r>
    </w:p>
    <w:p>
      <w:pPr>
        <w:spacing w:line="360" w:lineRule="auto" w:after="0"/>
        <w:ind w:firstLine="420"/>
      </w:pPr>
      <w:r>
        <w:rPr>
          <w:rFonts w:ascii="宋体" w:hAnsi="宋体" w:eastAsia="宋体"/>
          <w:b w:val="0"/>
          <w:color w:val="000000"/>
          <w:sz w:val="24"/>
        </w:rPr>
        <w:t>本节给出 §3.1 中三个研究内容的具体研究方案。</w:t>
      </w:r>
    </w:p>
    <w:p>
      <w:pPr>
        <w:spacing w:before="120" w:after="0"/>
        <w:ind w:firstLine="0"/>
        <w:jc w:val="center"/>
      </w:pPr>
      <w:r>
        <w:rPr>
          <w:rFonts w:ascii="宋体" w:hAnsi="宋体" w:eastAsia="宋体"/>
          <w:b w:val="0"/>
          <w:color w:val="000000"/>
          <w:sz w:val="24"/>
        </w:rPr>
        <w:t>[图 3-1 占位]</w:t>
      </w:r>
    </w:p>
    <w:p>
      <w:pPr>
        <w:spacing w:after="120"/>
        <w:ind w:firstLine="0"/>
        <w:jc w:val="center"/>
      </w:pPr>
      <w:r>
        <w:rPr>
          <w:rFonts w:ascii="宋体" w:hAnsi="宋体" w:eastAsia="宋体"/>
          <w:b w:val="0"/>
          <w:color w:val="000000"/>
          <w:sz w:val="21"/>
        </w:rPr>
        <w:t>图3-1　总体研究方案</w:t>
      </w:r>
    </w:p>
    <w:p>
      <w:pPr>
        <w:spacing w:line="360" w:lineRule="auto" w:after="0"/>
        <w:ind w:firstLine="420"/>
      </w:pPr>
      <w:r>
        <w:rPr>
          <w:rFonts w:ascii="宋体" w:hAnsi="宋体" w:eastAsia="宋体"/>
          <w:b w:val="0"/>
          <w:color w:val="000000"/>
          <w:sz w:val="24"/>
        </w:rPr>
        <w:t>本课题的总体研究方案如图3-1所示，包括基于Transformer的多模态遥感图像预训练方法、基于视觉语言模型的多模态遥感图像未知类分类方法和基于持续学习的多模态遥感图像未知类分类方法三部分。第一部分，采用掩蔽图像重建策略对Transformer进行预训练，为后续未知类分类提供特征提取能力强的Transformer模型；第二部分利用视觉语言模型解决多模态遥感图像的未知类分类问题，为基于持续学习的未知类分类提供研究基础；最后对多模态遥感图像持续学习分类问题进行研究。</w:t>
      </w:r>
    </w:p>
    <w:p>
      <w:pPr>
        <w:spacing w:before="120" w:after="40"/>
        <w:ind w:firstLine="0"/>
      </w:pPr>
      <w:r>
        <w:rPr>
          <w:rFonts w:ascii="黑体" w:hAnsi="黑体" w:eastAsia="黑体"/>
          <w:b/>
          <w:color w:val="000000"/>
          <w:sz w:val="28"/>
        </w:rPr>
        <w:t>3.2.1 基于Transformer的多模态遥感图像预训练方法研究</w:t>
      </w:r>
    </w:p>
    <w:p>
      <w:pPr>
        <w:spacing w:line="360" w:lineRule="auto" w:after="0"/>
        <w:ind w:firstLine="420"/>
      </w:pPr>
      <w:r>
        <w:rPr>
          <w:rFonts w:ascii="宋体" w:hAnsi="宋体" w:eastAsia="宋体"/>
          <w:b w:val="0"/>
          <w:color w:val="000000"/>
          <w:sz w:val="24"/>
        </w:rPr>
        <w:t>在多模态遥感图像特征提取方法中，卷积神经网络采用局部连接和权值共享的方式，能够有效进行特征提取，在早期研究中占据主导地位。然而，基于CNN的多模态遥感图像分类方法由于卷积核感受野受限，难以对不同模态数据中长程依赖关系进行有效建模。针对跨模态和跨场景条件下复杂的空间分布和数据差异，需要同时考虑局部和全局的像素依赖关系，建立跨模态像素乃至地物之间的空间上下文关系。Transformer模型的出现为长距离依赖建模与全局特征提取提供了强有力的工具。因此，本课题将以Transformer为基础，实现多模态遥感图像的局部和长程特征联合提取，为后续未知类分类与持续学习任务奠定特征提取基础。</w:t>
      </w:r>
    </w:p>
    <w:p>
      <w:pPr>
        <w:spacing w:line="360" w:lineRule="auto" w:after="0"/>
        <w:ind w:firstLine="420"/>
      </w:pPr>
      <w:r>
        <w:rPr>
          <w:rFonts w:ascii="宋体" w:hAnsi="宋体" w:eastAsia="宋体"/>
          <w:b w:val="0"/>
          <w:color w:val="000000"/>
          <w:sz w:val="24"/>
        </w:rPr>
        <w:t>多模态遥感数据不仅在空间和光谱特征上差异显著，还具有不同的噪声特性和数据分辨率差异。传统视觉Transformer在输入时大多将图像划分为空间块作为序列输入，主要依赖空间自注意力机制，而忽视了不同模态特征的互补性和特有属性。因此，直接应用这些模型难以在多模态遥感特征提取中获得理想的实验精度。</w:t>
      </w:r>
    </w:p>
    <w:p>
      <w:pPr>
        <w:spacing w:before="120" w:after="0"/>
        <w:ind w:firstLine="0"/>
        <w:jc w:val="center"/>
      </w:pPr>
      <w:r>
        <w:rPr>
          <w:rFonts w:ascii="宋体" w:hAnsi="宋体" w:eastAsia="宋体"/>
          <w:b w:val="0"/>
          <w:color w:val="000000"/>
          <w:sz w:val="24"/>
        </w:rPr>
        <w:t>[图 3-2 占位]</w:t>
      </w:r>
    </w:p>
    <w:p>
      <w:pPr>
        <w:spacing w:after="120"/>
        <w:ind w:firstLine="0"/>
        <w:jc w:val="center"/>
      </w:pPr>
      <w:r>
        <w:rPr>
          <w:rFonts w:ascii="宋体" w:hAnsi="宋体" w:eastAsia="宋体"/>
          <w:b w:val="0"/>
          <w:color w:val="000000"/>
          <w:sz w:val="21"/>
        </w:rPr>
        <w:t>图3-2　基于Transformer的多模态遥感图像预训练流程示意图</w:t>
      </w:r>
    </w:p>
    <w:p>
      <w:pPr>
        <w:spacing w:line="360" w:lineRule="auto" w:after="0"/>
        <w:ind w:firstLine="420"/>
      </w:pPr>
      <w:r>
        <w:rPr>
          <w:rFonts w:ascii="宋体" w:hAnsi="宋体" w:eastAsia="宋体"/>
          <w:b w:val="0"/>
          <w:color w:val="000000"/>
          <w:sz w:val="24"/>
        </w:rPr>
        <w:t>为了充分利用多模态遥感图像中的空间-光谱信息，本课题拟在空间块划分之前，先对光谱信息进行处理，设计一个光谱信息聚合模块，对不同模态数据的光谱特征进行初步提取，确保每个空间块中蕴含丰富的光谱信息，使后续Transformer模型能够高效提取融合特征。与此同时，遥感图像具有局部空间一致性，即相近空间位置的像素更可能属于同一地物类别。本课题还将研究基于掩蔽重建的多模态遥感图像预训练方法，通过空间掩蔽任务，使Transformer从掩蔽的图像中恢复原始信息，使得Transformer在预训练阶段提升对局部空间信息的关注，提升模型学习局部与模态的独立特征。</w:t>
      </w:r>
    </w:p>
    <w:p>
      <w:pPr>
        <w:spacing w:line="360" w:lineRule="auto" w:after="0"/>
        <w:ind w:firstLine="420"/>
      </w:pPr>
      <w:r>
        <w:rPr>
          <w:rFonts w:ascii="宋体" w:hAnsi="宋体" w:eastAsia="宋体"/>
          <w:b w:val="0"/>
          <w:color w:val="000000"/>
          <w:sz w:val="24"/>
        </w:rPr>
        <w:t>然而，单纯依靠掩蔽重建获得的特征虽然具备一定判别能力，但主要关注输入样本的语义信息，其对于不同训练样本的区分性不足，难以直接满足分类需求。因此，本课题将引入实例对比学习与类间判别监督两种机制，将判别性特征提取能力注入Transformer的预训练阶段，获得既具有全局建模能力又具有强判别性的多模态Transformer特征提取模型，整体预训练流程如图3-2所示。其中实例对比学习用于区分不同样本，类间判别监督用于强调不同类别间的差异性。该模型将在后续未知类分类与持续学习阶段通过微调的方法进行应用。</w:t>
      </w:r>
    </w:p>
    <w:p>
      <w:pPr>
        <w:spacing w:before="120" w:after="40"/>
        <w:ind w:firstLine="0"/>
      </w:pPr>
      <w:r>
        <w:rPr>
          <w:rFonts w:ascii="黑体" w:hAnsi="黑体" w:eastAsia="黑体"/>
          <w:b/>
          <w:color w:val="000000"/>
          <w:sz w:val="28"/>
        </w:rPr>
        <w:t>3.2.2 基于视觉语言模型的多模态遥感图像未知类分类方法研究</w:t>
      </w:r>
    </w:p>
    <w:p>
      <w:pPr>
        <w:spacing w:line="360" w:lineRule="auto" w:after="0"/>
        <w:ind w:firstLine="420"/>
      </w:pPr>
      <w:r>
        <w:rPr>
          <w:rFonts w:ascii="宋体" w:hAnsi="宋体" w:eastAsia="宋体"/>
          <w:b w:val="0"/>
          <w:color w:val="000000"/>
          <w:sz w:val="24"/>
        </w:rPr>
        <w:t>在多模态遥感图像未知类分类任务中，核心挑战在于在缺乏未知类训练样本的情况下，如何获取未知类的先验知识并建立已知类与未知类之间的语义关联。现有多模态遥感数据面临标注不统一、类别规模有限、跨模态特征分布差异显著等问题，使得常规分类方法难以直接适用。为了实现未知类分类，需要解决两个关键问题：1）如何在已知类标签和多模态样本特征之间建立稳定的映射关系；2）如何在已知类与未知类之间建立语义层面的关联，从而获得未知类的特征表示与语义信息。</w:t>
      </w:r>
    </w:p>
    <w:p>
      <w:pPr>
        <w:spacing w:line="360" w:lineRule="auto" w:after="0"/>
        <w:ind w:firstLine="420"/>
      </w:pPr>
      <w:r>
        <w:rPr>
          <w:rFonts w:ascii="宋体" w:hAnsi="宋体" w:eastAsia="宋体"/>
          <w:b w:val="0"/>
          <w:color w:val="000000"/>
          <w:sz w:val="24"/>
        </w:rPr>
        <w:t>针对上述问题，本节提出基于视觉语言模型的多模态遥感图像未知类分类框架（MRS-VLM-Tr），如图3-3所示。该框架以视觉语言模型蕴含的语义先验为基础，通过伪标签获取机制将其语义知识引入像素级多模态分类任务，并结合监督训练使模型在保持已知类高精度分类的同时，具备对未知类的识别能力。整体上，框架由多模态伪标签生成与增强、谱特征引导的伪标签修正以及两阶段全局训练三个串联模块构成。设主模态高光谱图像为X_primary∈ℝ^(H×W×C₁)，辅助模态为X_aux∈ℝ^(H×W×C₂)，类别集合C=C_seen∪C_unseen由已知类和未知类组成；在训练阶段，C_unseen的样本标签全部被屏蔽，仅参与伪标签分支的监督。</w:t>
      </w:r>
    </w:p>
    <w:p>
      <w:pPr>
        <w:spacing w:before="120" w:after="0"/>
        <w:ind w:firstLine="0"/>
        <w:jc w:val="center"/>
      </w:pPr>
      <w:r>
        <w:rPr>
          <w:rFonts w:ascii="宋体" w:hAnsi="宋体" w:eastAsia="宋体"/>
          <w:b w:val="0"/>
          <w:color w:val="000000"/>
          <w:sz w:val="24"/>
        </w:rPr>
        <w:t>[图 3-3 占位]</w:t>
      </w:r>
    </w:p>
    <w:p>
      <w:pPr>
        <w:spacing w:after="120"/>
        <w:ind w:firstLine="0"/>
        <w:jc w:val="center"/>
      </w:pPr>
      <w:r>
        <w:rPr>
          <w:rFonts w:ascii="宋体" w:hAnsi="宋体" w:eastAsia="宋体"/>
          <w:b w:val="0"/>
          <w:color w:val="000000"/>
          <w:sz w:val="21"/>
        </w:rPr>
        <w:t>图3-3　基于视觉语言模型的多模态遥感图像未知类分类总体框架</w:t>
      </w:r>
    </w:p>
    <w:p>
      <w:pPr>
        <w:spacing w:line="360" w:lineRule="auto" w:after="0"/>
        <w:ind w:firstLine="420"/>
      </w:pPr>
      <w:r>
        <w:rPr>
          <w:rFonts w:ascii="宋体" w:hAnsi="宋体" w:eastAsia="宋体"/>
          <w:b w:val="0"/>
          <w:color w:val="000000"/>
          <w:sz w:val="24"/>
        </w:rPr>
        <w:t>在伪标签生成阶段，本节采用CLIP模型作为核心的视觉语言模型。对于一幅输入图像x与K个候选类别构成的文本描述集合{y_i^T}_{i=1}^K，CLIP通过对图像编码和文本编码计算余弦相似度，并经Softmax归一化输出该图像属于各类别的概率向量：</w:t>
      </w:r>
    </w:p>
    <w:p>
      <w:pPr>
        <w:spacing w:before="40" w:after="40"/>
        <w:ind w:firstLine="0"/>
        <w:jc w:val="center"/>
      </w:pPr>
      <w:r>
        <w:rPr>
          <w:rFonts w:ascii="Times New Roman" w:hAnsi="Times New Roman" w:eastAsia="宋体"/>
          <w:b w:val="0"/>
          <w:color w:val="000000"/>
          <w:sz w:val="24"/>
        </w:rPr>
        <w:t>P = CLIP(x, {y_i^T}_{i=1}^K) ∈ ℝ^K                                  (3-1)</w:t>
      </w:r>
    </w:p>
    <w:p>
      <w:pPr>
        <w:spacing w:line="360" w:lineRule="auto" w:after="0"/>
        <w:ind w:firstLine="420"/>
      </w:pPr>
      <w:r>
        <w:rPr>
          <w:rFonts w:ascii="宋体" w:hAnsi="宋体" w:eastAsia="宋体"/>
          <w:b w:val="0"/>
          <w:color w:val="000000"/>
          <w:sz w:val="24"/>
        </w:rPr>
        <w:t>由于CLIP在大规模自然图像-文本对上预训练得到，非光学辅助模态（LiDAR强度图、SAR散射图）在成像机理与统计特性上与之存在显著差异，直接调用难以获得可靠的语义匹配。因此本节将视觉语言模型的输入仅限于主模态高光谱图像，先按预设波段索引将X_primary降维为三通道RGB图像X_primary^RGB；同时，CLIP工作于图像级，而本任务为像素级，需要借助分割完成两者之间的过渡。本节在X_primary^RGB上联合采用ERS与SAM两种分割算法将整幅图像划分为N个语义连贯且像素全覆盖的区域：</w:t>
      </w:r>
    </w:p>
    <w:p>
      <w:pPr>
        <w:spacing w:before="40" w:after="40"/>
        <w:ind w:firstLine="0"/>
        <w:jc w:val="center"/>
      </w:pPr>
      <w:r>
        <w:rPr>
          <w:rFonts w:ascii="Times New Roman" w:hAnsi="Times New Roman" w:eastAsia="宋体"/>
          <w:b w:val="0"/>
          <w:color w:val="000000"/>
          <w:sz w:val="24"/>
        </w:rPr>
        <w:t>{s_i}_{i=1}^N = Seg_{ERS+SAM}(X_primary^RGB)                                  (3-2)</w:t>
      </w:r>
    </w:p>
    <w:p>
      <w:pPr>
        <w:spacing w:line="360" w:lineRule="auto" w:after="0"/>
        <w:ind w:firstLine="420"/>
      </w:pPr>
      <w:r>
        <w:rPr>
          <w:rFonts w:ascii="宋体" w:hAnsi="宋体" w:eastAsia="宋体"/>
          <w:b w:val="0"/>
          <w:color w:val="000000"/>
          <w:sz w:val="24"/>
        </w:rPr>
        <w:t>考虑到单一视觉语言模型在遥感场景下可能存在语义偏置，本节拟引入两个具有互补语义先验的视觉语言模型，对每个区域s_i的代表图像块a_i分别推理后在概率层做平均融合：</w:t>
      </w:r>
    </w:p>
    <w:p>
      <w:pPr>
        <w:spacing w:before="40" w:after="40"/>
        <w:ind w:firstLine="0"/>
        <w:jc w:val="center"/>
      </w:pPr>
      <w:r>
        <w:rPr>
          <w:rFonts w:ascii="Times New Roman" w:hAnsi="Times New Roman" w:eastAsia="宋体"/>
          <w:b w:val="0"/>
          <w:color w:val="000000"/>
          <w:sz w:val="24"/>
        </w:rPr>
        <w:t>P_i = (1/M) Σ_{m=1}^M CLIP_m(a_i, {y_j^T}_{j=1}^K)                                  (3-3)</w:t>
      </w:r>
    </w:p>
    <w:p>
      <w:pPr>
        <w:spacing w:line="360" w:lineRule="auto" w:after="0"/>
        <w:ind w:firstLine="420"/>
      </w:pPr>
      <w:r>
        <w:rPr>
          <w:rFonts w:ascii="宋体" w:hAnsi="宋体" w:eastAsia="宋体"/>
          <w:b w:val="0"/>
          <w:color w:val="000000"/>
          <w:sz w:val="24"/>
        </w:rPr>
        <w:t>其中M=2。将P_i分配给区域s_i内的所有像素，最终形成整图层面的伪标签概率张量P∈ℝ^(H×W×K)。</w:t>
      </w:r>
    </w:p>
    <w:p>
      <w:pPr>
        <w:spacing w:line="360" w:lineRule="auto" w:after="0"/>
        <w:ind w:firstLine="420"/>
      </w:pPr>
      <w:r>
        <w:rPr>
          <w:rFonts w:ascii="宋体" w:hAnsi="宋体" w:eastAsia="宋体"/>
          <w:b w:val="0"/>
          <w:color w:val="000000"/>
          <w:sz w:val="24"/>
        </w:rPr>
        <w:t>CLIP生成的伪标签不可避免地存在噪声，其来源既包括视觉语言模型的语义先验与遥感地物分布之间的知识鸿沟，也包括超像素分割边界处的标签歧义。直接以噪声伪标签监督模型训练会污染特征学习。为此，本节引入谱特征引导的伪标签修正机制：先将像素级伪标签和多模态光谱特征聚合到超像素级，再对超像素特征进行谱聚类以捕捉光谱空间中的内在分布；对于每个超像素，通过比较其与同簇且同伪标签邻居的相似度权重之和与全图同伪标签邻居权重之和的比值得到局部一致性分数，当该分数低于预设阈值时，按P中的概率排序迭代替换为次高候选类，直至一致性恢复或候选类穷尽，从而得到修正后的伪标签P_c∈ℝ^(H×W×K)。最后，对包含已知监督标签的超像素直接以真值覆盖伪标签，确保已知类信号不被修正过程污染。</w:t>
      </w:r>
    </w:p>
    <w:p>
      <w:pPr>
        <w:spacing w:line="360" w:lineRule="auto" w:after="0"/>
        <w:ind w:firstLine="420"/>
      </w:pPr>
      <w:r>
        <w:rPr>
          <w:rFonts w:ascii="宋体" w:hAnsi="宋体" w:eastAsia="宋体"/>
          <w:b w:val="0"/>
          <w:color w:val="000000"/>
          <w:sz w:val="24"/>
        </w:rPr>
        <w:t>在全局训练阶段，本节采用两阶段策略对像素级分割网络进行优化。第一阶段仅以已知类真值标签Y对网络进行预训练，使其形成稳定的已知类特征表征；第二阶段以真值标签和修正后伪标签P_c联合监督网络，通过复合损失函数同时优化已知类的精确分类与未知类的语义识别能力：</w:t>
      </w:r>
    </w:p>
    <w:p>
      <w:pPr>
        <w:spacing w:before="40" w:after="40"/>
        <w:ind w:firstLine="0"/>
        <w:jc w:val="center"/>
      </w:pPr>
      <w:r>
        <w:rPr>
          <w:rFonts w:ascii="Times New Roman" w:hAnsi="Times New Roman" w:eastAsia="宋体"/>
          <w:b w:val="0"/>
          <w:color w:val="000000"/>
          <w:sz w:val="24"/>
        </w:rPr>
        <w:t>L = L_sup + β · L_pl                                  (3-4)</w:t>
      </w:r>
    </w:p>
    <w:p>
      <w:pPr>
        <w:spacing w:line="360" w:lineRule="auto" w:after="0"/>
        <w:ind w:firstLine="420"/>
      </w:pPr>
      <w:r>
        <w:rPr>
          <w:rFonts w:ascii="宋体" w:hAnsi="宋体" w:eastAsia="宋体"/>
          <w:b w:val="0"/>
          <w:color w:val="000000"/>
          <w:sz w:val="24"/>
        </w:rPr>
        <w:t>其中L_sup为基于真值标签计算的监督交叉熵损失，L_pl为基于修正后伪标签计算的伪标签交叉熵损失，β为伪标签损失权重。在网络输入端，本节采用早期融合策略，将X_primary与X_aux分别经过通道维标准化后沿通道维拼接为联合输入张量：</w:t>
      </w:r>
    </w:p>
    <w:p>
      <w:pPr>
        <w:spacing w:before="40" w:after="40"/>
        <w:ind w:firstLine="0"/>
        <w:jc w:val="center"/>
      </w:pPr>
      <w:r>
        <w:rPr>
          <w:rFonts w:ascii="Times New Roman" w:hAnsi="Times New Roman" w:eastAsia="宋体"/>
          <w:b w:val="0"/>
          <w:color w:val="000000"/>
          <w:sz w:val="24"/>
        </w:rPr>
        <w:t>X_fused = Concat(Norm(X_primary), Norm(X_aux)) ∈ ℝ^(H×W×(C₁+C₂))                                  (3-5)</w:t>
      </w:r>
    </w:p>
    <w:p>
      <w:pPr>
        <w:spacing w:line="360" w:lineRule="auto" w:after="0"/>
        <w:ind w:firstLine="420"/>
      </w:pPr>
      <w:r>
        <w:rPr>
          <w:rFonts w:ascii="宋体" w:hAnsi="宋体" w:eastAsia="宋体"/>
          <w:b w:val="0"/>
          <w:color w:val="000000"/>
          <w:sz w:val="24"/>
        </w:rPr>
        <w:t>主干网络在X_fused上端到端训练，从而显式建模多模态联合表示。框架最终输出整图像素级分类预测，评估上既考察整体精度OA、平均精度AA与Kappa系数，也面向广义零样本学习考察已知类精度（S）、未知类精度（U）以及二者的调和均值H=2·S·U/(S+U)，其中调和均值衡量已知类与未知类性能的均衡性，是该任务下最具代表性的综合指标。</w:t>
      </w:r>
    </w:p>
    <w:p>
      <w:pPr>
        <w:spacing w:before="240" w:after="120"/>
        <w:ind w:firstLine="0"/>
      </w:pPr>
      <w:r>
        <w:rPr>
          <w:rFonts w:ascii="黑体" w:hAnsi="黑体" w:eastAsia="黑体"/>
          <w:b/>
          <w:color w:val="000000"/>
          <w:sz w:val="32"/>
        </w:rPr>
        <w:t>4. 预期达到的目标</w:t>
      </w:r>
    </w:p>
    <w:p>
      <w:pPr>
        <w:spacing w:line="360" w:lineRule="auto" w:after="0"/>
        <w:ind w:firstLine="420"/>
      </w:pPr>
      <w:r>
        <w:rPr>
          <w:rFonts w:ascii="宋体" w:hAnsi="宋体" w:eastAsia="宋体"/>
          <w:b w:val="0"/>
          <w:color w:val="000000"/>
          <w:sz w:val="24"/>
        </w:rPr>
        <w:t>（1）通过设计适用于多模态遥感数据的跨模态Transformer结构，并引入跨模态掩蔽重建与对比学习机制，探索同时兼具全局建模能力与判别性的特征提取模型，实现对高光谱、LiDAR、SAR等多模态数据的高效融合和表征。基于掩蔽重建的预训练方法，构建跨模态视觉Transformer模型来完成多模态遥感数据的分类问题，为后续未知类分类与持续学习奠定坚实的特征基础。</w:t>
      </w:r>
    </w:p>
    <w:p>
      <w:pPr>
        <w:spacing w:line="360" w:lineRule="auto" w:after="0"/>
        <w:ind w:firstLine="420"/>
      </w:pPr>
      <w:r>
        <w:rPr>
          <w:rFonts w:ascii="宋体" w:hAnsi="宋体" w:eastAsia="宋体"/>
          <w:b w:val="0"/>
          <w:color w:val="000000"/>
          <w:sz w:val="24"/>
        </w:rPr>
        <w:t>（2）通过将预训练视觉语言模型（如CLIP）迁移至像素级分类任务，并结合超像素伪标签生成与知识蒸馏方法，建立已知类、未知类与多模态图像特征之间的语义映射关系。预期实现在缺乏训练样本的情况下对未知类别的有效分类，同时保证已知类别的高精度分类性能，提升模型的语义泛化与跨模态适应能力。</w:t>
      </w:r>
    </w:p>
    <w:p>
      <w:pPr>
        <w:spacing w:line="360" w:lineRule="auto" w:after="0"/>
        <w:ind w:firstLine="420"/>
      </w:pPr>
      <w:r>
        <w:rPr>
          <w:rFonts w:ascii="宋体" w:hAnsi="宋体" w:eastAsia="宋体"/>
          <w:b w:val="0"/>
          <w:color w:val="000000"/>
          <w:sz w:val="24"/>
        </w:rPr>
        <w:t>（3）基于视觉语言模型的语义先验与混合专家适配器（MoE Adapters）的动态扩展机制，结合激活-冻结平衡策略，实现对新未知类别的持续学习与对旧知识的长期保持。预期能够构建一个持续学习框架，使模型在动态环境中不断适应新任务和新类别的同时，保持对已知类别的识别精度，并具备对未知类别的持续学习能力，从而在真实应用场景中实现更可靠和持久的多模态遥感图像分类性能。</w:t>
      </w:r>
    </w:p>
    <w:p>
      <w:pPr>
        <w:spacing w:before="240" w:after="120"/>
        <w:ind w:firstLine="0"/>
      </w:pPr>
      <w:r>
        <w:rPr>
          <w:rFonts w:ascii="黑体" w:hAnsi="黑体" w:eastAsia="黑体"/>
          <w:b/>
          <w:color w:val="000000"/>
          <w:sz w:val="32"/>
        </w:rPr>
        <w:t>5. 已完成的研究工作</w:t>
      </w:r>
    </w:p>
    <w:p>
      <w:pPr>
        <w:spacing w:before="160" w:after="80"/>
        <w:ind w:firstLine="0"/>
      </w:pPr>
      <w:r>
        <w:rPr>
          <w:rFonts w:ascii="黑体" w:hAnsi="黑体" w:eastAsia="黑体"/>
          <w:b/>
          <w:color w:val="000000"/>
          <w:sz w:val="30"/>
        </w:rPr>
        <w:t>5.1 基于掩蔽 Transformer 的多模态遥感图像预训练方法</w:t>
      </w:r>
    </w:p>
    <w:p>
      <w:pPr>
        <w:spacing w:line="360" w:lineRule="auto" w:after="0"/>
        <w:ind w:firstLine="420"/>
      </w:pPr>
      <w:r>
        <w:rPr>
          <w:rFonts w:ascii="宋体" w:hAnsi="宋体" w:eastAsia="宋体"/>
          <w:b w:val="0"/>
          <w:color w:val="000000"/>
          <w:sz w:val="24"/>
        </w:rPr>
        <w:t>本节主要研究基于跨模态Transformer的多模态遥感图像预训练方法研究，为后续基于视觉语言模型的多模态遥感图像未知类分类方法研究奠定基础。</w:t>
      </w:r>
    </w:p>
    <w:p>
      <w:pPr>
        <w:spacing w:line="360" w:lineRule="auto" w:after="0"/>
        <w:ind w:firstLine="420"/>
      </w:pPr>
      <w:r>
        <w:rPr>
          <w:rFonts w:ascii="宋体" w:hAnsi="宋体" w:eastAsia="宋体"/>
          <w:b w:val="0"/>
          <w:color w:val="000000"/>
          <w:sz w:val="24"/>
        </w:rPr>
        <w:t>多模态遥感数据在成像机理和特征分布上存在显著差异，例如高光谱影像包含丰富光谱信息，LiDAR提供精确空间高程信息，SAR具备全天候成像能力，而光学影像反映地物纹理与结构。不同模态之间存在天然的互补性，但传统方法难以充分挖掘模态间关联，导致特征融合效果有限。Transformer模型在全局建模上具有优势，但缺乏局部归纳偏置，直接应用于多模态遥感图像时容易忽略局部空间一致性和模态间互补特征，从而影响跨模态特征提取与分类性能。</w:t>
      </w:r>
    </w:p>
    <w:p>
      <w:pPr>
        <w:spacing w:line="360" w:lineRule="auto" w:after="0"/>
        <w:ind w:firstLine="420"/>
      </w:pPr>
      <w:r>
        <w:rPr>
          <w:rFonts w:ascii="宋体" w:hAnsi="宋体" w:eastAsia="宋体"/>
          <w:b w:val="0"/>
          <w:color w:val="000000"/>
          <w:sz w:val="24"/>
        </w:rPr>
        <w:t>针对上述问题，本课题提出了基于跨模态掩蔽的Transformer预训练方法。该方法通过在跨模态特征空间中按照一定比例随机掩蔽部分空间块，并利用未掩蔽区域和其他模态的互补信息恢复缺失内容，从而迫使模型学习不同模态之间的互补特征以及空间局部关联特征。</w:t>
      </w:r>
    </w:p>
    <w:p>
      <w:pPr>
        <w:spacing w:before="120" w:after="40"/>
        <w:ind w:firstLine="0"/>
      </w:pPr>
      <w:r>
        <w:rPr>
          <w:rFonts w:ascii="黑体" w:hAnsi="黑体" w:eastAsia="黑体"/>
          <w:b/>
          <w:color w:val="000000"/>
          <w:sz w:val="28"/>
        </w:rPr>
        <w:t>5.1.1 Transformer 模型概述</w:t>
      </w:r>
    </w:p>
    <w:p>
      <w:pPr>
        <w:spacing w:line="360" w:lineRule="auto" w:after="0"/>
        <w:ind w:firstLine="420"/>
      </w:pPr>
      <w:r>
        <w:rPr>
          <w:rFonts w:ascii="宋体" w:hAnsi="宋体" w:eastAsia="宋体"/>
          <w:b w:val="0"/>
          <w:color w:val="000000"/>
          <w:sz w:val="24"/>
        </w:rPr>
        <w:t>视觉Transformer（ViT）是一类深度学习模型，通过自注意力机制（Self-Attention）对图像输入进行特征建模。假设输入的图像为𝓧∈ℝ^(H×W×C)，其中H为图像高度，W为图像宽度，C为波段数或通道数。</w:t>
      </w:r>
    </w:p>
    <w:p>
      <w:pPr>
        <w:spacing w:line="360" w:lineRule="auto" w:after="0"/>
        <w:ind w:firstLine="420"/>
      </w:pPr>
      <w:r>
        <w:rPr>
          <w:rFonts w:ascii="宋体" w:hAnsi="宋体" w:eastAsia="宋体"/>
          <w:b w:val="0"/>
          <w:color w:val="000000"/>
          <w:sz w:val="24"/>
        </w:rPr>
        <w:t>在Transformer中，图像𝓧首先被划分为P×P×C的不重叠图像块，每个图像块展平为序列{x_n∈ℝ^(P²C)}_{n=1}^N，其中N=HW/P²为图像块数量。随后，通过可学习的线性映射矩阵E∈ℝ^(P²C×D)将每个图像块投影到D维特征空间，得到初始标记向量x̄_n。为了保留空间位置信息，引入可学习的位置编码p_n∈ℝ^D，将其与标记向量相加：</w:t>
      </w:r>
    </w:p>
    <w:p>
      <w:pPr>
        <w:spacing w:before="40" w:after="40"/>
        <w:ind w:firstLine="0"/>
        <w:jc w:val="center"/>
      </w:pPr>
      <w:r>
        <w:rPr>
          <w:rFonts w:ascii="Times New Roman" w:hAnsi="Times New Roman" w:eastAsia="宋体"/>
          <w:b w:val="0"/>
          <w:color w:val="000000"/>
          <w:sz w:val="24"/>
        </w:rPr>
        <w:t>z_n ∈ ℝ^D = p_n + x̄_n                                  (5-1)</w:t>
      </w:r>
    </w:p>
    <w:p>
      <w:pPr>
        <w:spacing w:line="360" w:lineRule="auto" w:after="0"/>
        <w:ind w:firstLine="420"/>
      </w:pPr>
      <w:r>
        <w:rPr>
          <w:rFonts w:ascii="宋体" w:hAnsi="宋体" w:eastAsia="宋体"/>
          <w:b w:val="0"/>
          <w:color w:val="000000"/>
          <w:sz w:val="24"/>
        </w:rPr>
        <w:t>然后，将标记向量序列{z_n}_{n=1}^N与一个类标记向量z_cls拼接，形成了Transformer编码器的输入：</w:t>
      </w:r>
    </w:p>
    <w:p>
      <w:pPr>
        <w:spacing w:before="40" w:after="40"/>
        <w:ind w:firstLine="0"/>
        <w:jc w:val="center"/>
      </w:pPr>
      <w:r>
        <w:rPr>
          <w:rFonts w:ascii="Times New Roman" w:hAnsi="Times New Roman" w:eastAsia="宋体"/>
          <w:b w:val="0"/>
          <w:color w:val="000000"/>
          <w:sz w:val="24"/>
        </w:rPr>
        <w:t>Z^(0) ∈ ℝ^((N+1)×D) = [z_cls; z_1; z_2; ⋯ ; z_N]                                  (5-2)</w:t>
      </w:r>
    </w:p>
    <w:p>
      <w:pPr>
        <w:spacing w:line="360" w:lineRule="auto" w:after="0"/>
        <w:ind w:firstLine="420"/>
      </w:pPr>
      <w:r>
        <w:rPr>
          <w:rFonts w:ascii="宋体" w:hAnsi="宋体" w:eastAsia="宋体"/>
          <w:b w:val="0"/>
          <w:color w:val="000000"/>
          <w:sz w:val="24"/>
        </w:rPr>
        <w:t>Transformer编码器由L个编码块堆叠而成，每个编码块包含多头自注意力层（Multi-Head Self-Attention，MHSA）、带GELU激活函数的多层感知机（Multi-Layer Perception，MLP）以及归一化层（Layer Normalization，LN）。第l个编码块的特征提取过程可表述为：</w:t>
      </w:r>
    </w:p>
    <w:p>
      <w:pPr>
        <w:spacing w:before="40" w:after="40"/>
        <w:ind w:firstLine="0"/>
        <w:jc w:val="center"/>
      </w:pPr>
      <w:r>
        <w:rPr>
          <w:rFonts w:ascii="Times New Roman" w:hAnsi="Times New Roman" w:eastAsia="宋体"/>
          <w:b w:val="0"/>
          <w:color w:val="000000"/>
          <w:sz w:val="24"/>
        </w:rPr>
        <w:t>H^(l) = MHSA(LN(Z^(l-1))) + Z^(l-1),  l = 1, ⋯ , L                                  (5-3)</w:t>
      </w:r>
    </w:p>
    <w:p>
      <w:pPr>
        <w:spacing w:before="40" w:after="40"/>
        <w:ind w:firstLine="0"/>
        <w:jc w:val="center"/>
      </w:pPr>
      <w:r>
        <w:rPr>
          <w:rFonts w:ascii="Times New Roman" w:hAnsi="Times New Roman" w:eastAsia="宋体"/>
          <w:b w:val="0"/>
          <w:color w:val="000000"/>
          <w:sz w:val="24"/>
        </w:rPr>
        <w:t>Z^(l) = MLP(LN(H^(l))) + H^(l),  l = 1, ⋯ , L                                  (5-4)</w:t>
      </w:r>
    </w:p>
    <w:p>
      <w:pPr>
        <w:spacing w:before="120" w:after="0"/>
        <w:ind w:firstLine="0"/>
        <w:jc w:val="center"/>
      </w:pPr>
      <w:r>
        <w:rPr>
          <w:rFonts w:ascii="宋体" w:hAnsi="宋体" w:eastAsia="宋体"/>
          <w:b w:val="0"/>
          <w:color w:val="000000"/>
          <w:sz w:val="24"/>
        </w:rPr>
        <w:t>[图 5-1 占位]</w:t>
      </w:r>
    </w:p>
    <w:p>
      <w:pPr>
        <w:spacing w:after="120"/>
        <w:ind w:firstLine="0"/>
        <w:jc w:val="center"/>
      </w:pPr>
      <w:r>
        <w:rPr>
          <w:rFonts w:ascii="宋体" w:hAnsi="宋体" w:eastAsia="宋体"/>
          <w:b w:val="0"/>
          <w:color w:val="000000"/>
          <w:sz w:val="21"/>
        </w:rPr>
        <w:t>图5-1　自注意力机制计算示意图</w:t>
      </w:r>
    </w:p>
    <w:p>
      <w:pPr>
        <w:spacing w:line="360" w:lineRule="auto" w:after="0"/>
        <w:ind w:firstLine="420"/>
      </w:pPr>
      <w:r>
        <w:rPr>
          <w:rFonts w:ascii="宋体" w:hAnsi="宋体" w:eastAsia="宋体"/>
          <w:b w:val="0"/>
          <w:color w:val="000000"/>
          <w:sz w:val="24"/>
        </w:rPr>
        <w:t>如图5-1所示，在自注意力机制中，每个编码块首先生成查询（Query）、键（Key）和值（Value）张量：</w:t>
      </w:r>
    </w:p>
    <w:p>
      <w:pPr>
        <w:spacing w:before="40" w:after="40"/>
        <w:ind w:firstLine="0"/>
        <w:jc w:val="center"/>
      </w:pPr>
      <w:r>
        <w:rPr>
          <w:rFonts w:ascii="Times New Roman" w:hAnsi="Times New Roman" w:eastAsia="宋体"/>
          <w:b w:val="0"/>
          <w:color w:val="000000"/>
          <w:sz w:val="24"/>
        </w:rPr>
        <w:t>Q^(l) = LN(Z^(l-1)) W_Q^(l)                                  (5-5)</w:t>
      </w:r>
    </w:p>
    <w:p>
      <w:pPr>
        <w:spacing w:before="40" w:after="40"/>
        <w:ind w:firstLine="0"/>
        <w:jc w:val="center"/>
      </w:pPr>
      <w:r>
        <w:rPr>
          <w:rFonts w:ascii="Times New Roman" w:hAnsi="Times New Roman" w:eastAsia="宋体"/>
          <w:b w:val="0"/>
          <w:color w:val="000000"/>
          <w:sz w:val="24"/>
        </w:rPr>
        <w:t>K^(l) = LN(Z^(l-1)) W_K^(l)                                  (5-6)</w:t>
      </w:r>
    </w:p>
    <w:p>
      <w:pPr>
        <w:spacing w:before="40" w:after="40"/>
        <w:ind w:firstLine="0"/>
        <w:jc w:val="center"/>
      </w:pPr>
      <w:r>
        <w:rPr>
          <w:rFonts w:ascii="Times New Roman" w:hAnsi="Times New Roman" w:eastAsia="宋体"/>
          <w:b w:val="0"/>
          <w:color w:val="000000"/>
          <w:sz w:val="24"/>
        </w:rPr>
        <w:t>V^(l) = LN(Z^(l-1)) W_V^(l)                                  (5-7)</w:t>
      </w:r>
    </w:p>
    <w:p>
      <w:pPr>
        <w:spacing w:line="360" w:lineRule="auto" w:after="0"/>
        <w:ind w:firstLine="420"/>
      </w:pPr>
      <w:r>
        <w:rPr>
          <w:rFonts w:ascii="宋体" w:hAnsi="宋体" w:eastAsia="宋体"/>
          <w:b w:val="0"/>
          <w:color w:val="000000"/>
          <w:sz w:val="24"/>
        </w:rPr>
        <w:t>其中，W_Q^(l)、W_K^(l)和W_V^(l)分别表示自注意力机制中的查询、键和值投影矩阵。那么第l个编码块的自注意力计算可表示为：</w:t>
      </w:r>
    </w:p>
    <w:p>
      <w:pPr>
        <w:spacing w:before="40" w:after="40"/>
        <w:ind w:firstLine="0"/>
        <w:jc w:val="center"/>
      </w:pPr>
      <w:r>
        <w:rPr>
          <w:rFonts w:ascii="Times New Roman" w:hAnsi="Times New Roman" w:eastAsia="宋体"/>
          <w:b w:val="0"/>
          <w:color w:val="000000"/>
          <w:sz w:val="24"/>
        </w:rPr>
        <w:t>A^(l) = Softmax(Q^(l) K^(l)^T / √D) V^(l)                                  (5-8)</w:t>
      </w:r>
    </w:p>
    <w:p>
      <w:pPr>
        <w:spacing w:before="40" w:after="40"/>
        <w:ind w:firstLine="0"/>
        <w:jc w:val="center"/>
      </w:pPr>
      <w:r>
        <w:rPr>
          <w:rFonts w:ascii="Times New Roman" w:hAnsi="Times New Roman" w:eastAsia="宋体"/>
          <w:b w:val="0"/>
          <w:color w:val="000000"/>
          <w:sz w:val="24"/>
        </w:rPr>
        <w:t>H^(l) = A^(l) W_O^(l)                                  (5-9)</w:t>
      </w:r>
    </w:p>
    <w:p>
      <w:pPr>
        <w:spacing w:line="360" w:lineRule="auto" w:after="0"/>
        <w:ind w:firstLine="420"/>
      </w:pPr>
      <w:r>
        <w:rPr>
          <w:rFonts w:ascii="宋体" w:hAnsi="宋体" w:eastAsia="宋体"/>
          <w:b w:val="0"/>
          <w:color w:val="000000"/>
          <w:sz w:val="24"/>
        </w:rPr>
        <w:t>其中，W_O^(l)为输出投影矩阵。经过L层编码器后，类标记向量Z_cls^(L)通常被归一化作为图像的全局表征向量：</w:t>
      </w:r>
    </w:p>
    <w:p>
      <w:pPr>
        <w:spacing w:before="40" w:after="40"/>
        <w:ind w:firstLine="0"/>
        <w:jc w:val="center"/>
      </w:pPr>
      <w:r>
        <w:rPr>
          <w:rFonts w:ascii="Times New Roman" w:hAnsi="Times New Roman" w:eastAsia="宋体"/>
          <w:b w:val="0"/>
          <w:color w:val="000000"/>
          <w:sz w:val="24"/>
        </w:rPr>
        <w:t>h = LN(Z_cls^(L))                                  (5-10)</w:t>
      </w:r>
    </w:p>
    <w:p>
      <w:pPr>
        <w:spacing w:line="360" w:lineRule="auto" w:after="0"/>
        <w:ind w:firstLine="420"/>
      </w:pPr>
      <w:r>
        <w:rPr>
          <w:rFonts w:ascii="宋体" w:hAnsi="宋体" w:eastAsia="宋体"/>
          <w:b w:val="0"/>
          <w:color w:val="000000"/>
          <w:sz w:val="24"/>
        </w:rPr>
        <w:t>该全局表征向量h可作为下游任务（如分类、检测或跨模态融合）的输入特征。</w:t>
      </w:r>
    </w:p>
    <w:p>
      <w:pPr>
        <w:spacing w:before="120" w:after="40"/>
        <w:ind w:firstLine="0"/>
      </w:pPr>
      <w:r>
        <w:rPr>
          <w:rFonts w:ascii="黑体" w:hAnsi="黑体" w:eastAsia="黑体"/>
          <w:b/>
          <w:color w:val="000000"/>
          <w:sz w:val="28"/>
        </w:rPr>
        <w:t>5.1.2 多模态掩蔽 Transformer 预训练方法</w:t>
      </w:r>
    </w:p>
    <w:p>
      <w:pPr>
        <w:spacing w:line="360" w:lineRule="auto" w:after="0"/>
        <w:ind w:firstLine="420"/>
      </w:pPr>
      <w:r>
        <w:rPr>
          <w:rFonts w:ascii="宋体" w:hAnsi="宋体" w:eastAsia="宋体"/>
          <w:b w:val="0"/>
          <w:color w:val="000000"/>
          <w:sz w:val="24"/>
        </w:rPr>
        <w:t>受到计算机视觉领域自监督技术的启发，本节探索了用于多模态遥感图像空谱-空间特征提取的多模态掩蔽Transformer（MSS-MTr，Multimodal Spectral-Spatial Masked Transformer）。MSS-MTr通过在输入的多模态遥感图像中随机屏蔽部分空间块，并利用剩余信息进行重建来预训练Transformer模型，从而迫使模型不仅学习到局部空间依赖关系，还能捕获不同模态间的互补特征与语义关联。</w:t>
      </w:r>
    </w:p>
    <w:p>
      <w:pPr>
        <w:spacing w:line="360" w:lineRule="auto" w:after="0"/>
        <w:ind w:firstLine="420"/>
      </w:pPr>
      <w:r>
        <w:rPr>
          <w:rFonts w:ascii="宋体" w:hAnsi="宋体" w:eastAsia="宋体"/>
          <w:b w:val="0"/>
          <w:color w:val="000000"/>
          <w:sz w:val="24"/>
        </w:rPr>
        <w:t>MSS-MTr的整体训练流程如图5-2所示。一般来说，当其应用于多模态遥感图像分类任务时，其训练过程分为两个阶段：预训练阶段和微调阶段。</w:t>
      </w:r>
    </w:p>
    <w:p>
      <w:pPr>
        <w:spacing w:before="120" w:after="0"/>
        <w:ind w:firstLine="0"/>
        <w:jc w:val="center"/>
      </w:pPr>
      <w:r>
        <w:rPr>
          <w:rFonts w:ascii="宋体" w:hAnsi="宋体" w:eastAsia="宋体"/>
          <w:b w:val="0"/>
          <w:color w:val="000000"/>
          <w:sz w:val="24"/>
        </w:rPr>
        <w:t>[图 5-2 占位]</w:t>
      </w:r>
    </w:p>
    <w:p>
      <w:pPr>
        <w:spacing w:after="120"/>
        <w:ind w:firstLine="0"/>
        <w:jc w:val="center"/>
      </w:pPr>
      <w:r>
        <w:rPr>
          <w:rFonts w:ascii="宋体" w:hAnsi="宋体" w:eastAsia="宋体"/>
          <w:b w:val="0"/>
          <w:color w:val="000000"/>
          <w:sz w:val="21"/>
        </w:rPr>
        <w:t>图5-2　基于遮蔽的多模态遥感图像分类方法总体框图</w:t>
      </w:r>
    </w:p>
    <w:p>
      <w:pPr>
        <w:spacing w:line="360" w:lineRule="auto" w:after="0"/>
        <w:ind w:firstLine="420"/>
      </w:pPr>
      <w:r>
        <w:rPr>
          <w:rFonts w:ascii="宋体" w:hAnsi="宋体" w:eastAsia="宋体"/>
          <w:b w:val="0"/>
          <w:color w:val="000000"/>
          <w:sz w:val="24"/>
        </w:rPr>
        <w:t>在预训练阶段，首先将多模态图像𝓧₁∈ℝ^(H×W×C)、𝓧₂∈ℝ^(H×W×B)分别在空间上随机掩蔽掉一些区域。具体来说，将多模态图像样本𝓧₁和𝓧₂都分为N=HW/P²个不重叠空间块p̄，其中p̄∈ℝ^(N×P²B/P²C)，P为空间块大小。然后针对各个模态的图像块进行随机掩蔽，从所有图像块中随机选择一部分。图像块的索引集合定义为：</w:t>
      </w:r>
    </w:p>
    <w:p>
      <w:pPr>
        <w:spacing w:before="40" w:after="40"/>
        <w:ind w:firstLine="0"/>
        <w:jc w:val="center"/>
      </w:pPr>
      <w:r>
        <w:rPr>
          <w:rFonts w:ascii="Times New Roman" w:hAnsi="Times New Roman" w:eastAsia="宋体"/>
          <w:b w:val="0"/>
          <w:color w:val="000000"/>
          <w:sz w:val="24"/>
        </w:rPr>
        <w:t>I = {a | 1 ≤ a ≤ N, a ∈ ℤ}                                  (5-11)</w:t>
      </w:r>
    </w:p>
    <w:p>
      <w:pPr>
        <w:spacing w:line="360" w:lineRule="auto" w:after="0"/>
        <w:ind w:firstLine="420"/>
      </w:pPr>
      <w:r>
        <w:rPr>
          <w:rFonts w:ascii="宋体" w:hAnsi="宋体" w:eastAsia="宋体"/>
          <w:b w:val="0"/>
          <w:color w:val="000000"/>
          <w:sz w:val="24"/>
        </w:rPr>
        <w:t>其中ℤ表示整数集。然后从中按照掩蔽比例p随机选择N_p个块进行掩蔽，生成需要掩蔽掉的图像块的索引：</w:t>
      </w:r>
    </w:p>
    <w:p>
      <w:pPr>
        <w:spacing w:before="40" w:after="40"/>
        <w:ind w:firstLine="0"/>
        <w:jc w:val="center"/>
      </w:pPr>
      <w:r>
        <w:rPr>
          <w:rFonts w:ascii="Times New Roman" w:hAnsi="Times New Roman" w:eastAsia="宋体"/>
          <w:b w:val="0"/>
          <w:color w:val="000000"/>
          <w:sz w:val="24"/>
        </w:rPr>
        <w:t>I_m = RandomSelect(I, N_p)                                  (5-12)</w:t>
      </w:r>
    </w:p>
    <w:p>
      <w:pPr>
        <w:spacing w:line="360" w:lineRule="auto" w:after="0"/>
        <w:ind w:firstLine="420"/>
      </w:pPr>
      <w:r>
        <w:rPr>
          <w:rFonts w:ascii="宋体" w:hAnsi="宋体" w:eastAsia="宋体"/>
          <w:b w:val="0"/>
          <w:color w:val="000000"/>
          <w:sz w:val="24"/>
        </w:rPr>
        <w:t>其中RandomSelect(I, N_p)表示从给定集合I中无放回地随机选择N_p个元素，掩蔽后的各模态图像块序列为：</w:t>
      </w:r>
    </w:p>
    <w:p>
      <w:pPr>
        <w:spacing w:before="40" w:after="40"/>
        <w:ind w:firstLine="0"/>
        <w:jc w:val="center"/>
      </w:pPr>
      <w:r>
        <w:rPr>
          <w:rFonts w:ascii="Times New Roman" w:hAnsi="Times New Roman" w:eastAsia="宋体"/>
          <w:b w:val="0"/>
          <w:color w:val="000000"/>
          <w:sz w:val="24"/>
        </w:rPr>
        <w:t>p̄_i = p̄[I − I_m] ∈ ℝ^(N(1−p)×P²C/P²B)                                  (5-13)</w:t>
      </w:r>
    </w:p>
    <w:p>
      <w:pPr>
        <w:spacing w:line="360" w:lineRule="auto" w:after="0"/>
        <w:ind w:firstLine="420"/>
      </w:pPr>
      <w:r>
        <w:rPr>
          <w:rFonts w:ascii="宋体" w:hAnsi="宋体" w:eastAsia="宋体"/>
          <w:b w:val="0"/>
          <w:color w:val="000000"/>
          <w:sz w:val="24"/>
        </w:rPr>
        <w:t>接下来，掩蔽后的图像块序列通过可学习矩阵E∈ℝ^(P²C/P²B×D)进行线性变换，得到标记向量序列：</w:t>
      </w:r>
    </w:p>
    <w:p>
      <w:pPr>
        <w:spacing w:before="40" w:after="40"/>
        <w:ind w:firstLine="0"/>
        <w:jc w:val="center"/>
      </w:pPr>
      <w:r>
        <w:rPr>
          <w:rFonts w:ascii="Times New Roman" w:hAnsi="Times New Roman" w:eastAsia="宋体"/>
          <w:b w:val="0"/>
          <w:color w:val="000000"/>
          <w:sz w:val="24"/>
        </w:rPr>
        <w:t>T_i = [t_cls; p̄_i E]                                  (5-14)</w:t>
      </w:r>
    </w:p>
    <w:p>
      <w:pPr>
        <w:spacing w:line="360" w:lineRule="auto" w:after="0"/>
        <w:ind w:firstLine="420"/>
      </w:pPr>
      <w:r>
        <w:rPr>
          <w:rFonts w:ascii="宋体" w:hAnsi="宋体" w:eastAsia="宋体"/>
          <w:b w:val="0"/>
          <w:color w:val="000000"/>
          <w:sz w:val="24"/>
        </w:rPr>
        <w:t>其中t_cls为类标记向量，用于图像全局表征，D表示编码器的标记维度，T_i∈ℝ^((N−N_p+1)×D)表示掩蔽后的标记向量序列。</w:t>
      </w:r>
    </w:p>
    <w:p>
      <w:pPr>
        <w:spacing w:line="360" w:lineRule="auto" w:after="0"/>
        <w:ind w:firstLine="420"/>
      </w:pPr>
      <w:r>
        <w:rPr>
          <w:rFonts w:ascii="宋体" w:hAnsi="宋体" w:eastAsia="宋体"/>
          <w:b w:val="0"/>
          <w:color w:val="000000"/>
          <w:sz w:val="24"/>
        </w:rPr>
        <w:t>掩蔽后的各模态标记向量序列被输入各自的基于Transformer的编码器（由L_e层编码块组成）进行空谱-空间特征提取：</w:t>
      </w:r>
    </w:p>
    <w:p>
      <w:pPr>
        <w:spacing w:before="40" w:after="40"/>
        <w:ind w:firstLine="0"/>
        <w:jc w:val="center"/>
      </w:pPr>
      <w:r>
        <w:rPr>
          <w:rFonts w:ascii="Times New Roman" w:hAnsi="Times New Roman" w:eastAsia="宋体"/>
          <w:b w:val="0"/>
          <w:color w:val="000000"/>
          <w:sz w:val="24"/>
        </w:rPr>
        <w:t>T_e = TE(T_i)                                  (5-15)</w:t>
      </w:r>
    </w:p>
    <w:p>
      <w:pPr>
        <w:spacing w:line="360" w:lineRule="auto" w:after="0"/>
        <w:ind w:firstLine="420"/>
      </w:pPr>
      <w:r>
        <w:rPr>
          <w:rFonts w:ascii="宋体" w:hAnsi="宋体" w:eastAsia="宋体"/>
          <w:b w:val="0"/>
          <w:color w:val="000000"/>
          <w:sz w:val="24"/>
        </w:rPr>
        <w:t>其中T_e∈ℝ^((N−N_p+1)×D)表示经过编码器特征提取后的标记向量，TE(·)表示编码器的映射函数。</w:t>
      </w:r>
    </w:p>
    <w:p>
      <w:pPr>
        <w:spacing w:line="360" w:lineRule="auto" w:after="0"/>
        <w:ind w:firstLine="420"/>
      </w:pPr>
      <w:r>
        <w:rPr>
          <w:rFonts w:ascii="宋体" w:hAnsi="宋体" w:eastAsia="宋体"/>
          <w:b w:val="0"/>
          <w:color w:val="000000"/>
          <w:sz w:val="24"/>
        </w:rPr>
        <w:t>随后，编码器输出T_e与掩蔽标记向量T_m一起输入解码器（由L_d层Transformer编码块及线性层组成）进行原始多模态图像重建。其中掩蔽标记向量T_m用于补全输入样本并插入至被掩蔽掉的图像块位置。每个T_m都是一个可学习的向量，根据原始位置与编码标记向量T_e进行拼接，如图5-3所示。</w:t>
      </w:r>
    </w:p>
    <w:p>
      <w:pPr>
        <w:spacing w:before="120" w:after="0"/>
        <w:ind w:firstLine="0"/>
        <w:jc w:val="center"/>
      </w:pPr>
      <w:r>
        <w:rPr>
          <w:rFonts w:ascii="宋体" w:hAnsi="宋体" w:eastAsia="宋体"/>
          <w:b w:val="0"/>
          <w:color w:val="000000"/>
          <w:sz w:val="24"/>
        </w:rPr>
        <w:t>[图 5-3 占位]</w:t>
      </w:r>
    </w:p>
    <w:p>
      <w:pPr>
        <w:spacing w:after="120"/>
        <w:ind w:firstLine="0"/>
        <w:jc w:val="center"/>
      </w:pPr>
      <w:r>
        <w:rPr>
          <w:rFonts w:ascii="宋体" w:hAnsi="宋体" w:eastAsia="宋体"/>
          <w:b w:val="0"/>
          <w:color w:val="000000"/>
          <w:sz w:val="21"/>
        </w:rPr>
        <w:t>图5-3　图像掩蔽及解码排列示意图</w:t>
      </w:r>
    </w:p>
    <w:p>
      <w:pPr>
        <w:spacing w:line="360" w:lineRule="auto" w:after="0"/>
        <w:ind w:firstLine="420"/>
      </w:pPr>
      <w:r>
        <w:rPr>
          <w:rFonts w:ascii="宋体" w:hAnsi="宋体" w:eastAsia="宋体"/>
          <w:b w:val="0"/>
          <w:color w:val="000000"/>
          <w:sz w:val="24"/>
        </w:rPr>
        <w:t>解码器首先通过线性层将标记向量的维度从D转换为D′。然后将转换后的向量添加位置编码向量为重建任务提供位置信息，输入给Transformer编码块处理。最后再将输出通过另一个线性层将向量投影到像素空间。解码过程为：</w:t>
      </w:r>
    </w:p>
    <w:p>
      <w:pPr>
        <w:spacing w:before="40" w:after="40"/>
        <w:ind w:firstLine="0"/>
        <w:jc w:val="center"/>
      </w:pPr>
      <w:r>
        <w:rPr>
          <w:rFonts w:ascii="Times New Roman" w:hAnsi="Times New Roman" w:eastAsia="宋体"/>
          <w:b w:val="0"/>
          <w:color w:val="000000"/>
          <w:sz w:val="24"/>
        </w:rPr>
        <w:t>T_d = TD(T_e, T_m)                                  (5-16)</w:t>
      </w:r>
    </w:p>
    <w:p>
      <w:pPr>
        <w:spacing w:line="360" w:lineRule="auto" w:after="0"/>
        <w:ind w:firstLine="420"/>
      </w:pPr>
      <w:r>
        <w:rPr>
          <w:rFonts w:ascii="宋体" w:hAnsi="宋体" w:eastAsia="宋体"/>
          <w:b w:val="0"/>
          <w:color w:val="000000"/>
          <w:sz w:val="24"/>
        </w:rPr>
        <w:t>其中T_d∈ℝ^((N+1)×P²C/P²B)表示获得的用于重建的标记向量，TD(·)表示解码器的映射函数。在不考虑类标记向量后，获得的T_d可以被重新排列成为与原始输入的多模态样本𝓧₁和𝓧₂形状相同的图像。</w:t>
      </w:r>
    </w:p>
    <w:p>
      <w:pPr>
        <w:spacing w:line="360" w:lineRule="auto" w:after="0"/>
        <w:ind w:firstLine="420"/>
      </w:pPr>
      <w:r>
        <w:rPr>
          <w:rFonts w:ascii="宋体" w:hAnsi="宋体" w:eastAsia="宋体"/>
          <w:b w:val="0"/>
          <w:color w:val="000000"/>
          <w:sz w:val="24"/>
        </w:rPr>
        <w:t>最后，仅在被掩蔽掉区域计算重建样本和原始输入样本𝓧₁与𝓧₂之间的均方误差。具体来说，原始多模态样本被划分为N个不重叠的补丁p̄，重建损失L_rec计算如下：</w:t>
      </w:r>
    </w:p>
    <w:p>
      <w:pPr>
        <w:spacing w:before="40" w:after="40"/>
        <w:ind w:firstLine="0"/>
        <w:jc w:val="center"/>
      </w:pPr>
      <w:r>
        <w:rPr>
          <w:rFonts w:ascii="Times New Roman" w:hAnsi="Times New Roman" w:eastAsia="宋体"/>
          <w:b w:val="0"/>
          <w:color w:val="000000"/>
          <w:sz w:val="24"/>
        </w:rPr>
        <w:t>p̃ = T_d[1 : end]                                  (5-17)</w:t>
      </w:r>
    </w:p>
    <w:p>
      <w:pPr>
        <w:spacing w:before="40" w:after="40"/>
        <w:ind w:firstLine="0"/>
        <w:jc w:val="center"/>
      </w:pPr>
      <w:r>
        <w:rPr>
          <w:rFonts w:ascii="Times New Roman" w:hAnsi="Times New Roman" w:eastAsia="宋体"/>
          <w:b w:val="0"/>
          <w:color w:val="000000"/>
          <w:sz w:val="24"/>
        </w:rPr>
        <w:t>L_rec = ‖p̄[I_m] − p̃[I_m]‖₂²                                  (5-18)</w:t>
      </w:r>
    </w:p>
    <w:p>
      <w:pPr>
        <w:spacing w:line="360" w:lineRule="auto" w:after="0"/>
        <w:ind w:firstLine="420"/>
      </w:pPr>
      <w:r>
        <w:rPr>
          <w:rFonts w:ascii="宋体" w:hAnsi="宋体" w:eastAsia="宋体"/>
          <w:b w:val="0"/>
          <w:color w:val="000000"/>
          <w:sz w:val="24"/>
        </w:rPr>
        <w:t>在微调阶段，将预训练的Transformer编码器后添加一个联合Transformer编码器，联合编码器用于将所提取到的单模态特征进行融合，学习到具有模态互补性的联合特征。最后添加一个新的全连接层，并使用交叉熵损失在有标签多模态遥感数据上进行微调，形成一个用于分类的新网络。它们的输入是未掩蔽的多模态数据，单模态编码器加载了在预训练过程中学到的参数，并用于多模态数据的特征提取。联合编码器通过自注意力机制在跨模态特征之间建立依赖关系，从而获得更鲁棒的联合特征。</w:t>
      </w:r>
    </w:p>
    <w:p>
      <w:pPr>
        <w:spacing w:before="120" w:after="40"/>
        <w:ind w:firstLine="0"/>
      </w:pPr>
      <w:r>
        <w:rPr>
          <w:rFonts w:ascii="黑体" w:hAnsi="黑体" w:eastAsia="黑体"/>
          <w:b/>
          <w:color w:val="000000"/>
          <w:sz w:val="28"/>
        </w:rPr>
        <w:t>5.1.3 基于类别区分性和样本差异性的掩蔽 Transformer 预训练方法</w:t>
      </w:r>
    </w:p>
    <w:p>
      <w:pPr>
        <w:spacing w:line="360" w:lineRule="auto" w:after="0"/>
        <w:ind w:firstLine="420"/>
      </w:pPr>
      <w:r>
        <w:rPr>
          <w:rFonts w:ascii="宋体" w:hAnsi="宋体" w:eastAsia="宋体"/>
          <w:b w:val="0"/>
          <w:color w:val="000000"/>
          <w:sz w:val="24"/>
        </w:rPr>
        <w:t>在前文中，提出了基于掩蔽重建的MSS-MTr方法，该方法通过随机掩蔽输入的多模态图像块并进行重建，使得模型能够在预训练阶段充分捕获各个模态数据的局部空间特征。然而，该方法主要着眼于局部上下文的恢复，所学特征在判别性方面仍然不足，一方面，不同类别之间的差异性并未得到显式建模；另一方面，同类样本与不同样本之间的实例关系也未得到有效约束。因此，单纯依赖重建的预训练方式虽然可以提升Transformer对局部特征的敏感性，但难以保证下游任务中分类的判别性，之后的实验可以证实这一点。</w:t>
      </w:r>
    </w:p>
    <w:p>
      <w:pPr>
        <w:spacing w:line="360" w:lineRule="auto" w:after="0"/>
        <w:ind w:firstLine="420"/>
      </w:pPr>
      <w:r>
        <w:rPr>
          <w:rFonts w:ascii="宋体" w:hAnsi="宋体" w:eastAsia="宋体"/>
          <w:b w:val="0"/>
          <w:color w:val="000000"/>
          <w:sz w:val="24"/>
        </w:rPr>
        <w:t>为了解决上述问题，在MSS-MTr的基础上，本节引入监督分类与对比学习两种机制，提出了一种具有判别性特征建模能力的预训练方法。该方法在保持重建任务的同时，进一步通过标签监督增强模型在类别区分性上的能力，使其能够更清晰地区分不同地物类别；通过对比学习增强样本差异性的建模，形成了一个统一的判别性预训练框架，如图5-4所示。样本差异性是指模型能够有效地区分单个样本与其他样本的能力，即使它们所属同一类别。类别区分性是强调不同类别之间的显著差异，使得模型能够在特征空间中拉开类别间的间隔。</w:t>
      </w:r>
    </w:p>
    <w:p>
      <w:pPr>
        <w:spacing w:before="80" w:after="40"/>
        <w:ind w:firstLine="0"/>
      </w:pPr>
      <w:r>
        <w:rPr>
          <w:rFonts w:ascii="黑体" w:hAnsi="黑体" w:eastAsia="黑体"/>
          <w:b/>
          <w:color w:val="000000"/>
          <w:sz w:val="26"/>
        </w:rPr>
        <w:t>5.1.3.1 基于对比学习的掩蔽 Transformer 预训练方法</w:t>
      </w:r>
    </w:p>
    <w:p>
      <w:pPr>
        <w:spacing w:line="360" w:lineRule="auto" w:after="0"/>
        <w:ind w:firstLine="420"/>
      </w:pPr>
      <w:r>
        <w:rPr>
          <w:rFonts w:ascii="宋体" w:hAnsi="宋体" w:eastAsia="宋体"/>
          <w:b w:val="0"/>
          <w:color w:val="000000"/>
          <w:sz w:val="24"/>
        </w:rPr>
        <w:t>对比学习是一种近年来在计算机视觉领域应用广泛的预训练策略，其核心思想是通过拉近同一样本的不同视图在特征空间中的距离，同时拉开不同样本之间的差异，从而提升模型的表征能力。众所周知，这种方法能够显著增强模型在样本实例级别上的判别性。本节将对比学习思想与MSS-MTr框架相结合，在原有的重建分支基础上，增加了一个并行的对比学习分支，其结构如图5-4所示。</w:t>
      </w:r>
    </w:p>
    <w:p>
      <w:pPr>
        <w:spacing w:before="120" w:after="0"/>
        <w:ind w:firstLine="0"/>
        <w:jc w:val="center"/>
      </w:pPr>
      <w:r>
        <w:rPr>
          <w:rFonts w:ascii="宋体" w:hAnsi="宋体" w:eastAsia="宋体"/>
          <w:b w:val="0"/>
          <w:color w:val="000000"/>
          <w:sz w:val="24"/>
        </w:rPr>
        <w:t>[图 5-4 占位]</w:t>
      </w:r>
    </w:p>
    <w:p>
      <w:pPr>
        <w:spacing w:after="120"/>
        <w:ind w:firstLine="0"/>
        <w:jc w:val="center"/>
      </w:pPr>
      <w:r>
        <w:rPr>
          <w:rFonts w:ascii="宋体" w:hAnsi="宋体" w:eastAsia="宋体"/>
          <w:b w:val="0"/>
          <w:color w:val="000000"/>
          <w:sz w:val="21"/>
        </w:rPr>
        <w:t>图5-4　基于类别区分性和样本差异性的掩蔽 Transformer 结构示意图</w:t>
      </w:r>
    </w:p>
    <w:p>
      <w:pPr>
        <w:spacing w:line="360" w:lineRule="auto" w:after="0"/>
        <w:ind w:firstLine="420"/>
      </w:pPr>
      <w:r>
        <w:rPr>
          <w:rFonts w:ascii="宋体" w:hAnsi="宋体" w:eastAsia="宋体"/>
          <w:b w:val="0"/>
          <w:color w:val="000000"/>
          <w:sz w:val="24"/>
        </w:rPr>
        <w:t>在对比学习过程中，通常需要依赖数据增强来构造一个样本的两个不同视图。考虑到MSS-MTr的掩蔽特性，本课题利用同一样本在不同模态间的表征互补性来构造视图。具体来说，选择了掩蔽后的多模态样本和原始未掩蔽样本作为同一样本的两个视图。对于掩蔽视图p̄_i，由编码标记和掩码标记(T_e, T_m)组成的标记序列记为T_1；而在未掩蔽视图p̄中，未掩蔽样本在编码器处理后的标记序列记为T_2，其计算方式如下：</w:t>
      </w:r>
    </w:p>
    <w:p>
      <w:pPr>
        <w:spacing w:before="40" w:after="40"/>
        <w:ind w:firstLine="0"/>
        <w:jc w:val="center"/>
      </w:pPr>
      <w:r>
        <w:rPr>
          <w:rFonts w:ascii="Times New Roman" w:hAnsi="Times New Roman" w:eastAsia="宋体"/>
          <w:b w:val="0"/>
          <w:color w:val="000000"/>
          <w:sz w:val="24"/>
        </w:rPr>
        <w:t>T_2 = [t_cls'; p̄ E]                                  (5-14)</w:t>
      </w:r>
    </w:p>
    <w:p>
      <w:pPr>
        <w:spacing w:line="360" w:lineRule="auto" w:after="0"/>
        <w:ind w:firstLine="420"/>
      </w:pPr>
      <w:r>
        <w:rPr>
          <w:rFonts w:ascii="宋体" w:hAnsi="宋体" w:eastAsia="宋体"/>
          <w:b w:val="0"/>
          <w:color w:val="000000"/>
          <w:sz w:val="24"/>
        </w:rPr>
        <w:t>在对比学习分支中，T_1和T_2会分别输入到一个仅包含单层Transformer编码块的映射网络中，得到的输出分别为Z_1和Z_2。它们对应的类标记向量分别为z_cls和z_cls'，用于计算对比损失函数来更新模型参数。</w:t>
      </w:r>
    </w:p>
    <w:p>
      <w:pPr>
        <w:spacing w:line="360" w:lineRule="auto" w:after="0"/>
        <w:ind w:firstLine="420"/>
      </w:pPr>
      <w:r>
        <w:rPr>
          <w:rFonts w:ascii="宋体" w:hAnsi="宋体" w:eastAsia="宋体"/>
          <w:b w:val="0"/>
          <w:color w:val="000000"/>
          <w:sz w:val="24"/>
        </w:rPr>
        <w:t>这里采用InfoNCE损失来实现对比学习目标。设单个批次内有M个样本，则这M个样本的两个视图对应的类标记向量可记为：</w:t>
      </w:r>
    </w:p>
    <w:p>
      <w:pPr>
        <w:spacing w:before="40" w:after="40"/>
        <w:ind w:firstLine="0"/>
        <w:jc w:val="center"/>
      </w:pPr>
      <w:r>
        <w:rPr>
          <w:rFonts w:ascii="Times New Roman" w:hAnsi="Times New Roman" w:eastAsia="宋体"/>
          <w:b w:val="0"/>
          <w:color w:val="000000"/>
          <w:sz w:val="24"/>
        </w:rPr>
        <w:t>{h_i}_{i=1}^{2M},  h_{2k} = z_cls^[k],  h_{2k−1} = z_cls'^[k],  k = 1, 2, … , M                                  (5-15)</w:t>
      </w:r>
    </w:p>
    <w:p>
      <w:pPr>
        <w:spacing w:line="360" w:lineRule="auto" w:after="0"/>
        <w:ind w:firstLine="420"/>
      </w:pPr>
      <w:r>
        <w:rPr>
          <w:rFonts w:ascii="宋体" w:hAnsi="宋体" w:eastAsia="宋体"/>
          <w:b w:val="0"/>
          <w:color w:val="000000"/>
          <w:sz w:val="24"/>
        </w:rPr>
        <w:t>其中z_cls^[k]和z_cls'^[k]是第k个样本的两个视图的类标记向量。令</w:t>
      </w:r>
    </w:p>
    <w:p>
      <w:pPr>
        <w:spacing w:before="40" w:after="40"/>
        <w:ind w:firstLine="0"/>
        <w:jc w:val="center"/>
      </w:pPr>
      <w:r>
        <w:rPr>
          <w:rFonts w:ascii="Times New Roman" w:hAnsi="Times New Roman" w:eastAsia="宋体"/>
          <w:b w:val="0"/>
          <w:color w:val="000000"/>
          <w:sz w:val="24"/>
        </w:rPr>
        <w:t>s(a, b) = a^T b / (‖a‖ ‖b‖)                                  (5-16)</w:t>
      </w:r>
    </w:p>
    <w:p>
      <w:pPr>
        <w:spacing w:line="360" w:lineRule="auto" w:after="0"/>
        <w:ind w:firstLine="420"/>
      </w:pPr>
      <w:r>
        <w:rPr>
          <w:rFonts w:ascii="宋体" w:hAnsi="宋体" w:eastAsia="宋体"/>
          <w:b w:val="0"/>
          <w:color w:val="000000"/>
          <w:sz w:val="24"/>
        </w:rPr>
        <w:t>表示ℓ₂归一化后的两个向量a和b之间的内积。那么对比损失函数定义为：</w:t>
      </w:r>
    </w:p>
    <w:p>
      <w:pPr>
        <w:spacing w:before="40" w:after="40"/>
        <w:ind w:firstLine="0"/>
        <w:jc w:val="center"/>
      </w:pPr>
      <w:r>
        <w:rPr>
          <w:rFonts w:ascii="Times New Roman" w:hAnsi="Times New Roman" w:eastAsia="宋体"/>
          <w:b w:val="0"/>
          <w:color w:val="000000"/>
          <w:sz w:val="24"/>
        </w:rPr>
        <w:t>L_cl = (1 / 2M) ∑_{k=1}^M [ ℓ(2k−1, 2k) + ℓ(2k, 2k−1) ]                                  (5-17)</w:t>
      </w:r>
    </w:p>
    <w:p>
      <w:pPr>
        <w:spacing w:before="40" w:after="40"/>
        <w:ind w:firstLine="0"/>
        <w:jc w:val="center"/>
      </w:pPr>
      <w:r>
        <w:rPr>
          <w:rFonts w:ascii="Times New Roman" w:hAnsi="Times New Roman" w:eastAsia="宋体"/>
          <w:b w:val="0"/>
          <w:color w:val="000000"/>
          <w:sz w:val="24"/>
        </w:rPr>
        <w:t>ℓ(i, j) = − log [ exp(s(h_i, h_j)) / ∑_{k=1}^{2M} 𝟙_{[k≠i]} exp(s(h_i, h_k)) ]                                  (5-18)</w:t>
      </w:r>
    </w:p>
    <w:p>
      <w:pPr>
        <w:spacing w:line="360" w:lineRule="auto" w:after="0"/>
        <w:ind w:firstLine="420"/>
      </w:pPr>
      <w:r>
        <w:rPr>
          <w:rFonts w:ascii="宋体" w:hAnsi="宋体" w:eastAsia="宋体"/>
          <w:b w:val="0"/>
          <w:color w:val="000000"/>
          <w:sz w:val="24"/>
        </w:rPr>
        <w:t>其中𝟙_{[·]}∈{0,1}是指示函数，当且仅当满足[·]中的条件时返回1。与此同时，掩蔽视图的标记序列T_1还会进一步输入解码器进行重建任务，并计算对应的重建损失L_rec。</w:t>
      </w:r>
    </w:p>
    <w:p>
      <w:pPr>
        <w:spacing w:before="80" w:after="40"/>
        <w:ind w:firstLine="0"/>
      </w:pPr>
      <w:r>
        <w:rPr>
          <w:rFonts w:ascii="黑体" w:hAnsi="黑体" w:eastAsia="黑体"/>
          <w:b/>
          <w:color w:val="000000"/>
          <w:sz w:val="26"/>
        </w:rPr>
        <w:t>5.1.3.2 基于监督学习的掩蔽 Transformer 预训练方法</w:t>
      </w:r>
    </w:p>
    <w:p>
      <w:pPr>
        <w:spacing w:line="360" w:lineRule="auto" w:after="0"/>
        <w:ind w:firstLine="420"/>
      </w:pPr>
      <w:r>
        <w:rPr>
          <w:rFonts w:ascii="宋体" w:hAnsi="宋体" w:eastAsia="宋体"/>
          <w:b w:val="0"/>
          <w:color w:val="000000"/>
          <w:sz w:val="24"/>
        </w:rPr>
        <w:t>当多模态数据中能够获得类别标签等监督信息时，可以利用这些标签对MSS-MTr进行额外的指导训练。与无监督或对比学习方式相比，监督信号能够更直接地刻画类内与类间的判别性，从而提升模型对不同类别特征的区分能力，为后续的下游任务奠定更加稳固的基础。</w:t>
      </w:r>
    </w:p>
    <w:p>
      <w:pPr>
        <w:spacing w:line="360" w:lineRule="auto" w:after="0"/>
        <w:ind w:firstLine="420"/>
      </w:pPr>
      <w:r>
        <w:rPr>
          <w:rFonts w:ascii="宋体" w:hAnsi="宋体" w:eastAsia="宋体"/>
          <w:b w:val="0"/>
          <w:color w:val="000000"/>
          <w:sz w:val="24"/>
        </w:rPr>
        <w:t>如图5-4所示，本小节在原有重建分支之外，增加了一个用于分类预测的监督分支。具体地，模型首先对不同模态数据进行联合编码，不同模态数据在Transformer编码器中相互补充。通过这种跨模态的交互建模，编码器输出的类标记向量能够同时承载多模态的全局语义信息。随后，该类标记向量被送入分类器中进行类别判别，该分类器由全连接层、ReLU激活函数以及批量归一化层构成，如图5-5所示。最终输出一个预测向量ŷ∈ℝ^K，其中K是类别数目。随后，利用交叉熵损失函数衡量预测标签与真实标签之间的差异：</w:t>
      </w:r>
    </w:p>
    <w:p>
      <w:pPr>
        <w:spacing w:before="40" w:after="40"/>
        <w:ind w:firstLine="0"/>
        <w:jc w:val="center"/>
      </w:pPr>
      <w:r>
        <w:rPr>
          <w:rFonts w:ascii="Times New Roman" w:hAnsi="Times New Roman" w:eastAsia="宋体"/>
          <w:b w:val="0"/>
          <w:color w:val="000000"/>
          <w:sz w:val="24"/>
        </w:rPr>
        <w:t>L_cls = − ∑_{k=1}^K y_k log ŷ_k                                  (5-19)</w:t>
      </w:r>
    </w:p>
    <w:p>
      <w:pPr>
        <w:spacing w:line="360" w:lineRule="auto" w:after="0"/>
        <w:ind w:firstLine="420"/>
      </w:pPr>
      <w:r>
        <w:rPr>
          <w:rFonts w:ascii="宋体" w:hAnsi="宋体" w:eastAsia="宋体"/>
          <w:b w:val="0"/>
          <w:color w:val="000000"/>
          <w:sz w:val="24"/>
        </w:rPr>
        <w:t>其中，ŷ_k是ŷ的第k个元素，y_k是one-hot标签向量的第k个元素。通过监督分支的引入，模型在学习过程中不仅能够恢复局部缺失的信息，还能够在多模态特征空间中建立更清晰的类间边界与类内一致性，从而获得更具判别性的表征。</w:t>
      </w:r>
    </w:p>
    <w:p>
      <w:pPr>
        <w:spacing w:before="120" w:after="0"/>
        <w:ind w:firstLine="0"/>
        <w:jc w:val="center"/>
      </w:pPr>
      <w:r>
        <w:rPr>
          <w:rFonts w:ascii="宋体" w:hAnsi="宋体" w:eastAsia="宋体"/>
          <w:b w:val="0"/>
          <w:color w:val="000000"/>
          <w:sz w:val="24"/>
        </w:rPr>
        <w:t>[图 5-5 占位]</w:t>
      </w:r>
    </w:p>
    <w:p>
      <w:pPr>
        <w:spacing w:after="120"/>
        <w:ind w:firstLine="0"/>
        <w:jc w:val="center"/>
      </w:pPr>
      <w:r>
        <w:rPr>
          <w:rFonts w:ascii="宋体" w:hAnsi="宋体" w:eastAsia="宋体"/>
          <w:b w:val="0"/>
          <w:color w:val="000000"/>
          <w:sz w:val="21"/>
        </w:rPr>
        <w:t>图5-5　监督学习分类器结构示意图</w:t>
      </w:r>
    </w:p>
    <w:p>
      <w:pPr>
        <w:spacing w:before="80" w:after="40"/>
        <w:ind w:firstLine="0"/>
      </w:pPr>
      <w:r>
        <w:rPr>
          <w:rFonts w:ascii="黑体" w:hAnsi="黑体" w:eastAsia="黑体"/>
          <w:b/>
          <w:color w:val="000000"/>
          <w:sz w:val="26"/>
        </w:rPr>
        <w:t>5.1.3.3 基于监督和对比学习的掩蔽 Transformer 预训练方法</w:t>
      </w:r>
    </w:p>
    <w:p>
      <w:pPr>
        <w:spacing w:line="360" w:lineRule="auto" w:after="0"/>
        <w:ind w:firstLine="420"/>
      </w:pPr>
      <w:r>
        <w:rPr>
          <w:rFonts w:ascii="宋体" w:hAnsi="宋体" w:eastAsia="宋体"/>
          <w:b w:val="0"/>
          <w:color w:val="000000"/>
          <w:sz w:val="24"/>
        </w:rPr>
        <w:t>在本节中，我们将对比学习与监督标签共同引入到MSS-MTr的设计与训练中，提出了一种面向多模态遥感图像分类的判别性特征学习框架SC-MSS-MTr。与传统方法相比，该框架不仅能够对多模态样本的局部语义特征进行建模，还能够通过跨模态特征的协同刻画不同样本之间乃至跨类别之间的差异性与潜在关联性。此外，对比学习在该框架中起到正则化的作用，可以有效缓解监督训练过程中可能出现的过拟合问题。</w:t>
      </w:r>
    </w:p>
    <w:p>
      <w:pPr>
        <w:spacing w:line="360" w:lineRule="auto" w:after="0"/>
        <w:ind w:firstLine="420"/>
      </w:pPr>
      <w:r>
        <w:rPr>
          <w:rFonts w:ascii="宋体" w:hAnsi="宋体" w:eastAsia="宋体"/>
          <w:b w:val="0"/>
          <w:color w:val="000000"/>
          <w:sz w:val="24"/>
        </w:rPr>
        <w:t>如图5-4所示，SC-MSS-MTr整体结构主要包含三个部分：</w:t>
      </w:r>
    </w:p>
    <w:p>
      <w:pPr>
        <w:spacing w:line="360" w:lineRule="auto" w:after="0"/>
        <w:ind w:firstLine="420"/>
      </w:pPr>
      <w:r>
        <w:rPr>
          <w:rFonts w:ascii="宋体" w:hAnsi="宋体" w:eastAsia="宋体"/>
          <w:b w:val="0"/>
          <w:color w:val="000000"/>
          <w:sz w:val="24"/>
        </w:rPr>
        <w:t>（1）重建分支：利用掩蔽后的多模态样本视图，通过Transformer解码器重建缺失区域。不同模态在重建过程中独立重建，从而使模型在空间和光谱两个维度上形成更完整的各自模态表达；</w:t>
      </w:r>
    </w:p>
    <w:p>
      <w:pPr>
        <w:spacing w:line="360" w:lineRule="auto" w:after="0"/>
        <w:ind w:firstLine="420"/>
      </w:pPr>
      <w:r>
        <w:rPr>
          <w:rFonts w:ascii="宋体" w:hAnsi="宋体" w:eastAsia="宋体"/>
          <w:b w:val="0"/>
          <w:color w:val="000000"/>
          <w:sz w:val="24"/>
        </w:rPr>
        <w:t>（2）监督分类分支：基于掩蔽视图经过编码器提取的多模态联合表征，输入到分类网络中进行类别判别。此时，类标记向量不仅包含单一模态的语义信息，还融合了来自多个模态的互补特征，使模型能够在类别层面形成更清晰的判别边界；</w:t>
      </w:r>
    </w:p>
    <w:p>
      <w:pPr>
        <w:spacing w:line="360" w:lineRule="auto" w:after="0"/>
        <w:ind w:firstLine="420"/>
      </w:pPr>
      <w:r>
        <w:rPr>
          <w:rFonts w:ascii="宋体" w:hAnsi="宋体" w:eastAsia="宋体"/>
          <w:b w:val="0"/>
          <w:color w:val="000000"/>
          <w:sz w:val="24"/>
        </w:rPr>
        <w:t>（3）对比学习分支：将掩蔽视图与原始视图分别送入映射网络，在多模态空间中进行对比约束。通过拉近同一样本不同模态视图的特征表示，同时推远不同样本的特征表示，增强了模型在实例级别和模态级别上的判别性。</w:t>
      </w:r>
    </w:p>
    <w:p>
      <w:pPr>
        <w:spacing w:line="360" w:lineRule="auto" w:after="0"/>
        <w:ind w:firstLine="420"/>
      </w:pPr>
      <w:r>
        <w:rPr>
          <w:rFonts w:ascii="宋体" w:hAnsi="宋体" w:eastAsia="宋体"/>
          <w:b w:val="0"/>
          <w:color w:val="000000"/>
          <w:sz w:val="24"/>
        </w:rPr>
        <w:t>该方法的整体损失函数可定义为：</w:t>
      </w:r>
    </w:p>
    <w:p>
      <w:pPr>
        <w:spacing w:before="40" w:after="40"/>
        <w:ind w:firstLine="0"/>
        <w:jc w:val="center"/>
      </w:pPr>
      <w:r>
        <w:rPr>
          <w:rFonts w:ascii="Times New Roman" w:hAnsi="Times New Roman" w:eastAsia="宋体"/>
          <w:b w:val="0"/>
          <w:color w:val="000000"/>
          <w:sz w:val="24"/>
        </w:rPr>
        <w:t>L = L_rec + λ L_cls + γ L_cl                                  (5-20)</w:t>
      </w:r>
    </w:p>
    <w:p>
      <w:pPr>
        <w:spacing w:line="360" w:lineRule="auto" w:after="0"/>
        <w:ind w:firstLine="420"/>
      </w:pPr>
      <w:r>
        <w:rPr>
          <w:rFonts w:ascii="宋体" w:hAnsi="宋体" w:eastAsia="宋体"/>
          <w:b w:val="0"/>
          <w:color w:val="000000"/>
          <w:sz w:val="24"/>
        </w:rPr>
        <w:t>其中L_cls表示分类损失，L_cl表示对比学习损失。λ和γ分别为平衡各项损失的权重系数。需要强调的是，SC-MSS-MTr则能够同时利用监督信息与无监督信息，并通过多模态特征间的互补与交互来提升表征的判别性与鲁棒性，从而显著增强模型在下游分类任务中的泛化能力。</w:t>
      </w:r>
    </w:p>
    <w:p>
      <w:pPr>
        <w:spacing w:before="120" w:after="40"/>
        <w:ind w:firstLine="0"/>
      </w:pPr>
      <w:r>
        <w:rPr>
          <w:rFonts w:ascii="黑体" w:hAnsi="黑体" w:eastAsia="黑体"/>
          <w:b/>
          <w:color w:val="000000"/>
          <w:sz w:val="28"/>
        </w:rPr>
        <w:t>5.1.4 实验部分</w:t>
      </w:r>
    </w:p>
    <w:p>
      <w:pPr>
        <w:spacing w:before="80" w:after="40"/>
        <w:ind w:firstLine="0"/>
      </w:pPr>
      <w:r>
        <w:rPr>
          <w:rFonts w:ascii="黑体" w:hAnsi="黑体" w:eastAsia="黑体"/>
          <w:b/>
          <w:color w:val="000000"/>
          <w:sz w:val="26"/>
        </w:rPr>
        <w:t>5.1.4.1 实验数据与实验设置</w:t>
      </w:r>
    </w:p>
    <w:p>
      <w:pPr>
        <w:spacing w:line="360" w:lineRule="auto" w:after="0"/>
        <w:ind w:firstLine="420"/>
      </w:pPr>
      <w:r>
        <w:rPr>
          <w:rFonts w:ascii="宋体" w:hAnsi="宋体" w:eastAsia="宋体"/>
          <w:b w:val="0"/>
          <w:color w:val="000000"/>
          <w:sz w:val="24"/>
        </w:rPr>
        <w:t>（1）实验数据</w:t>
      </w:r>
    </w:p>
    <w:p>
      <w:pPr>
        <w:spacing w:line="360" w:lineRule="auto" w:after="0"/>
        <w:ind w:firstLine="420"/>
      </w:pPr>
      <w:r>
        <w:rPr>
          <w:rFonts w:ascii="宋体" w:hAnsi="宋体" w:eastAsia="宋体"/>
          <w:b w:val="0"/>
          <w:color w:val="000000"/>
          <w:sz w:val="24"/>
        </w:rPr>
        <w:t>休斯顿（Houston）数据集：该数据集由休斯顿大学与美国国家科学基金会资助的机载激光测绘中心（NSF-funded Center for Airborne Laser Mapping）联合开发，融合了配准后的高光谱影像与LiDAR高程数据。高光谱影像由ITRES CASI-1500传感器获取，涵盖380–1050nm波段，共144个光谱通道，空间分辨率为2.5m；LiDAR数据点云密度为2.1点/m²，垂直方向均方根误差（RMSE）精度为0.5m。该数据集空间尺寸为349×1905像素，包含15,029个地面真实样本，覆盖15个不同类别。图5-6显示了休斯顿数据集的假彩色图和真实地物图。表5-1列出了类别的具体情况。</w:t>
      </w:r>
    </w:p>
    <w:p>
      <w:pPr>
        <w:spacing w:line="360" w:lineRule="auto" w:after="0"/>
        <w:ind w:firstLine="420"/>
      </w:pPr>
      <w:r>
        <w:rPr>
          <w:rFonts w:ascii="宋体" w:hAnsi="宋体" w:eastAsia="宋体"/>
          <w:b w:val="0"/>
          <w:color w:val="000000"/>
          <w:sz w:val="24"/>
        </w:rPr>
        <w:t>柏林（Berlin）数据集：该数据集包含配准后的高光谱影像和合成孔径雷达（SAR）数据，覆盖德国柏林地区。高光谱数据包含244个光谱波段，波段范围为400–2500 nm，空间尺寸为797×220像素，可捕获城市地物的精细几何空间信息和细粒度光谱特征。互补的SAR数据包含4个通道，其像素尺寸与高光谱数据一致。该数据集包含464,671个已标注像素，分布于8个地物类别中。图5-7显示了柏林数据集的假彩色图和真实地物图。表5-2列出了类别的具体情况。</w:t>
      </w:r>
    </w:p>
    <w:p>
      <w:pPr>
        <w:spacing w:line="360" w:lineRule="auto" w:after="0"/>
        <w:ind w:firstLine="420"/>
      </w:pPr>
      <w:r>
        <w:rPr>
          <w:rFonts w:ascii="宋体" w:hAnsi="宋体" w:eastAsia="宋体"/>
          <w:b w:val="0"/>
          <w:color w:val="000000"/>
          <w:sz w:val="24"/>
        </w:rPr>
        <w:t>密西西比大学（MUUFL）数据集：该数据于2010年11月在美国密西西比州长滩的南密西西比大学Gulfpark校区获取，包含同步采集并完成空间配准的高光谱影像与LiDAR数据。高光谱数据最初包含72个光谱波段（375–1050nm），空间尺寸为325×220像素，但按照标准处理流程，会去除前4个和后4个受噪声影响的波段，最终保留64个有效的光谱通道。该数据集提供了53,687个地面真实样本，分布在11个地物类别中，涵盖城市与植被等地表类型。图5-8显示了MUUFL数据集的假彩色图和真实地物图。表5-3列出了类别的具体情况。</w:t>
      </w:r>
    </w:p>
    <w:p>
      <w:pPr>
        <w:spacing w:before="120" w:after="0"/>
        <w:ind w:firstLine="0"/>
        <w:jc w:val="center"/>
      </w:pPr>
      <w:r>
        <w:rPr>
          <w:rFonts w:ascii="宋体" w:hAnsi="宋体" w:eastAsia="宋体"/>
          <w:b w:val="0"/>
          <w:color w:val="000000"/>
          <w:sz w:val="24"/>
        </w:rPr>
        <w:t>[图 5-6 占位]</w:t>
      </w:r>
    </w:p>
    <w:p>
      <w:pPr>
        <w:spacing w:after="120"/>
        <w:ind w:firstLine="0"/>
        <w:jc w:val="center"/>
      </w:pPr>
      <w:r>
        <w:rPr>
          <w:rFonts w:ascii="宋体" w:hAnsi="宋体" w:eastAsia="宋体"/>
          <w:b w:val="0"/>
          <w:color w:val="000000"/>
          <w:sz w:val="21"/>
        </w:rPr>
        <w:t>图5-6　休斯顿数据集：(a)假彩色图，(b)LiDAR灰度图，(c)真实地物分布</w:t>
      </w:r>
    </w:p>
    <w:p>
      <w:pPr>
        <w:spacing w:after="120"/>
        <w:ind w:firstLine="0"/>
        <w:jc w:val="center"/>
      </w:pPr>
      <w:r>
        <w:rPr>
          <w:rFonts w:ascii="宋体" w:hAnsi="宋体" w:eastAsia="宋体"/>
          <w:b w:val="0"/>
          <w:color w:val="000000"/>
          <w:sz w:val="21"/>
        </w:rPr>
        <w:t>表5-1　休斯顿数据集地物类别情况</w:t>
      </w:r>
    </w:p>
    <w:tbl>
      <w:tblPr>
        <w:tblStyle w:val="af2"/>
        <w:tblW w:type="auto" w:w="0"/>
        <w:jc w:val="center"/>
        <w:tblLook w:firstColumn="1" w:firstRow="1" w:lastColumn="0" w:lastRow="0" w:noHBand="0" w:noVBand="1" w:val="04A0"/>
      </w:tblPr>
      <w:tblGrid>
        <w:gridCol w:w="3489"/>
        <w:gridCol w:w="3489"/>
        <w:gridCol w:w="3489"/>
      </w:tblGrid>
      <w:tr>
        <w:tc>
          <w:tcPr>
            <w:tcW w:type="dxa" w:w="3489"/>
          </w:tcPr>
          <w:p>
            <w:pPr>
              <w:jc w:val="center"/>
            </w:pPr>
            <w:r/>
            <w:r>
              <w:rPr>
                <w:rFonts w:ascii="宋体" w:hAnsi="宋体" w:eastAsia="宋体"/>
                <w:b/>
                <w:color w:val="000000"/>
                <w:sz w:val="20"/>
              </w:rPr>
              <w:t>标号</w:t>
            </w:r>
          </w:p>
        </w:tc>
        <w:tc>
          <w:tcPr>
            <w:tcW w:type="dxa" w:w="3489"/>
          </w:tcPr>
          <w:p>
            <w:pPr>
              <w:jc w:val="center"/>
            </w:pPr>
            <w:r/>
            <w:r>
              <w:rPr>
                <w:rFonts w:ascii="宋体" w:hAnsi="宋体" w:eastAsia="宋体"/>
                <w:b/>
                <w:color w:val="000000"/>
                <w:sz w:val="20"/>
              </w:rPr>
              <w:t>类别名称</w:t>
            </w:r>
          </w:p>
        </w:tc>
        <w:tc>
          <w:tcPr>
            <w:tcW w:type="dxa" w:w="3489"/>
          </w:tcPr>
          <w:p>
            <w:pPr>
              <w:jc w:val="center"/>
            </w:pPr>
            <w:r/>
            <w:r>
              <w:rPr>
                <w:rFonts w:ascii="宋体" w:hAnsi="宋体" w:eastAsia="宋体"/>
                <w:b/>
                <w:color w:val="000000"/>
                <w:sz w:val="20"/>
              </w:rPr>
              <w:t>样本数目</w:t>
            </w:r>
          </w:p>
        </w:tc>
      </w:tr>
      <w:tr>
        <w:tc>
          <w:tcPr>
            <w:tcW w:type="dxa" w:w="3489"/>
          </w:tcPr>
          <w:p>
            <w:pPr>
              <w:jc w:val="center"/>
            </w:pPr>
            <w:r/>
            <w:r>
              <w:rPr>
                <w:rFonts w:ascii="宋体" w:hAnsi="宋体" w:eastAsia="宋体"/>
                <w:b w:val="0"/>
                <w:color w:val="000000"/>
                <w:sz w:val="20"/>
              </w:rPr>
              <w:t>1</w:t>
            </w:r>
          </w:p>
        </w:tc>
        <w:tc>
          <w:tcPr>
            <w:tcW w:type="dxa" w:w="3489"/>
          </w:tcPr>
          <w:p>
            <w:pPr>
              <w:jc w:val="center"/>
            </w:pPr>
            <w:r/>
            <w:r>
              <w:rPr>
                <w:rFonts w:ascii="宋体" w:hAnsi="宋体" w:eastAsia="宋体"/>
                <w:b w:val="0"/>
                <w:color w:val="000000"/>
                <w:sz w:val="20"/>
              </w:rPr>
              <w:t>健康草</w:t>
            </w:r>
          </w:p>
        </w:tc>
        <w:tc>
          <w:tcPr>
            <w:tcW w:type="dxa" w:w="3489"/>
          </w:tcPr>
          <w:p>
            <w:pPr>
              <w:jc w:val="center"/>
            </w:pPr>
            <w:r/>
            <w:r>
              <w:rPr>
                <w:rFonts w:ascii="宋体" w:hAnsi="宋体" w:eastAsia="宋体"/>
                <w:b w:val="0"/>
                <w:color w:val="000000"/>
                <w:sz w:val="20"/>
              </w:rPr>
              <w:t>1251</w:t>
            </w:r>
          </w:p>
        </w:tc>
      </w:tr>
      <w:tr>
        <w:tc>
          <w:tcPr>
            <w:tcW w:type="dxa" w:w="3489"/>
          </w:tcPr>
          <w:p>
            <w:pPr>
              <w:jc w:val="center"/>
            </w:pPr>
            <w:r/>
            <w:r>
              <w:rPr>
                <w:rFonts w:ascii="宋体" w:hAnsi="宋体" w:eastAsia="宋体"/>
                <w:b w:val="0"/>
                <w:color w:val="000000"/>
                <w:sz w:val="20"/>
              </w:rPr>
              <w:t>2</w:t>
            </w:r>
          </w:p>
        </w:tc>
        <w:tc>
          <w:tcPr>
            <w:tcW w:type="dxa" w:w="3489"/>
          </w:tcPr>
          <w:p>
            <w:pPr>
              <w:jc w:val="center"/>
            </w:pPr>
            <w:r/>
            <w:r>
              <w:rPr>
                <w:rFonts w:ascii="宋体" w:hAnsi="宋体" w:eastAsia="宋体"/>
                <w:b w:val="0"/>
                <w:color w:val="000000"/>
                <w:sz w:val="20"/>
              </w:rPr>
              <w:t>被压草</w:t>
            </w:r>
          </w:p>
        </w:tc>
        <w:tc>
          <w:tcPr>
            <w:tcW w:type="dxa" w:w="3489"/>
          </w:tcPr>
          <w:p>
            <w:pPr>
              <w:jc w:val="center"/>
            </w:pPr>
            <w:r/>
            <w:r>
              <w:rPr>
                <w:rFonts w:ascii="宋体" w:hAnsi="宋体" w:eastAsia="宋体"/>
                <w:b w:val="0"/>
                <w:color w:val="000000"/>
                <w:sz w:val="20"/>
              </w:rPr>
              <w:t>1254</w:t>
            </w:r>
          </w:p>
        </w:tc>
      </w:tr>
      <w:tr>
        <w:tc>
          <w:tcPr>
            <w:tcW w:type="dxa" w:w="3489"/>
          </w:tcPr>
          <w:p>
            <w:pPr>
              <w:jc w:val="center"/>
            </w:pPr>
            <w:r/>
            <w:r>
              <w:rPr>
                <w:rFonts w:ascii="宋体" w:hAnsi="宋体" w:eastAsia="宋体"/>
                <w:b w:val="0"/>
                <w:color w:val="000000"/>
                <w:sz w:val="20"/>
              </w:rPr>
              <w:t>3</w:t>
            </w:r>
          </w:p>
        </w:tc>
        <w:tc>
          <w:tcPr>
            <w:tcW w:type="dxa" w:w="3489"/>
          </w:tcPr>
          <w:p>
            <w:pPr>
              <w:jc w:val="center"/>
            </w:pPr>
            <w:r/>
            <w:r>
              <w:rPr>
                <w:rFonts w:ascii="宋体" w:hAnsi="宋体" w:eastAsia="宋体"/>
                <w:b w:val="0"/>
                <w:color w:val="000000"/>
                <w:sz w:val="20"/>
              </w:rPr>
              <w:t>人工草</w:t>
            </w:r>
          </w:p>
        </w:tc>
        <w:tc>
          <w:tcPr>
            <w:tcW w:type="dxa" w:w="3489"/>
          </w:tcPr>
          <w:p>
            <w:pPr>
              <w:jc w:val="center"/>
            </w:pPr>
            <w:r/>
            <w:r>
              <w:rPr>
                <w:rFonts w:ascii="宋体" w:hAnsi="宋体" w:eastAsia="宋体"/>
                <w:b w:val="0"/>
                <w:color w:val="000000"/>
                <w:sz w:val="20"/>
              </w:rPr>
              <w:t>697</w:t>
            </w:r>
          </w:p>
        </w:tc>
      </w:tr>
      <w:tr>
        <w:tc>
          <w:tcPr>
            <w:tcW w:type="dxa" w:w="3489"/>
          </w:tcPr>
          <w:p>
            <w:pPr>
              <w:jc w:val="center"/>
            </w:pPr>
            <w:r/>
            <w:r>
              <w:rPr>
                <w:rFonts w:ascii="宋体" w:hAnsi="宋体" w:eastAsia="宋体"/>
                <w:b w:val="0"/>
                <w:color w:val="000000"/>
                <w:sz w:val="20"/>
              </w:rPr>
              <w:t>4</w:t>
            </w:r>
          </w:p>
        </w:tc>
        <w:tc>
          <w:tcPr>
            <w:tcW w:type="dxa" w:w="3489"/>
          </w:tcPr>
          <w:p>
            <w:pPr>
              <w:jc w:val="center"/>
            </w:pPr>
            <w:r/>
            <w:r>
              <w:rPr>
                <w:rFonts w:ascii="宋体" w:hAnsi="宋体" w:eastAsia="宋体"/>
                <w:b w:val="0"/>
                <w:color w:val="000000"/>
                <w:sz w:val="20"/>
              </w:rPr>
              <w:t>树</w:t>
            </w:r>
          </w:p>
        </w:tc>
        <w:tc>
          <w:tcPr>
            <w:tcW w:type="dxa" w:w="3489"/>
          </w:tcPr>
          <w:p>
            <w:pPr>
              <w:jc w:val="center"/>
            </w:pPr>
            <w:r/>
            <w:r>
              <w:rPr>
                <w:rFonts w:ascii="宋体" w:hAnsi="宋体" w:eastAsia="宋体"/>
                <w:b w:val="0"/>
                <w:color w:val="000000"/>
                <w:sz w:val="20"/>
              </w:rPr>
              <w:t>1244</w:t>
            </w:r>
          </w:p>
        </w:tc>
      </w:tr>
      <w:tr>
        <w:tc>
          <w:tcPr>
            <w:tcW w:type="dxa" w:w="3489"/>
          </w:tcPr>
          <w:p>
            <w:pPr>
              <w:jc w:val="center"/>
            </w:pPr>
            <w:r/>
            <w:r>
              <w:rPr>
                <w:rFonts w:ascii="宋体" w:hAnsi="宋体" w:eastAsia="宋体"/>
                <w:b w:val="0"/>
                <w:color w:val="000000"/>
                <w:sz w:val="20"/>
              </w:rPr>
              <w:t>5</w:t>
            </w:r>
          </w:p>
        </w:tc>
        <w:tc>
          <w:tcPr>
            <w:tcW w:type="dxa" w:w="3489"/>
          </w:tcPr>
          <w:p>
            <w:pPr>
              <w:jc w:val="center"/>
            </w:pPr>
            <w:r/>
            <w:r>
              <w:rPr>
                <w:rFonts w:ascii="宋体" w:hAnsi="宋体" w:eastAsia="宋体"/>
                <w:b w:val="0"/>
                <w:color w:val="000000"/>
                <w:sz w:val="20"/>
              </w:rPr>
              <w:t>土壤</w:t>
            </w:r>
          </w:p>
        </w:tc>
        <w:tc>
          <w:tcPr>
            <w:tcW w:type="dxa" w:w="3489"/>
          </w:tcPr>
          <w:p>
            <w:pPr>
              <w:jc w:val="center"/>
            </w:pPr>
            <w:r/>
            <w:r>
              <w:rPr>
                <w:rFonts w:ascii="宋体" w:hAnsi="宋体" w:eastAsia="宋体"/>
                <w:b w:val="0"/>
                <w:color w:val="000000"/>
                <w:sz w:val="20"/>
              </w:rPr>
              <w:t>1242</w:t>
            </w:r>
          </w:p>
        </w:tc>
      </w:tr>
      <w:tr>
        <w:tc>
          <w:tcPr>
            <w:tcW w:type="dxa" w:w="3489"/>
          </w:tcPr>
          <w:p>
            <w:pPr>
              <w:jc w:val="center"/>
            </w:pPr>
            <w:r/>
            <w:r>
              <w:rPr>
                <w:rFonts w:ascii="宋体" w:hAnsi="宋体" w:eastAsia="宋体"/>
                <w:b w:val="0"/>
                <w:color w:val="000000"/>
                <w:sz w:val="20"/>
              </w:rPr>
              <w:t>6</w:t>
            </w:r>
          </w:p>
        </w:tc>
        <w:tc>
          <w:tcPr>
            <w:tcW w:type="dxa" w:w="3489"/>
          </w:tcPr>
          <w:p>
            <w:pPr>
              <w:jc w:val="center"/>
            </w:pPr>
            <w:r/>
            <w:r>
              <w:rPr>
                <w:rFonts w:ascii="宋体" w:hAnsi="宋体" w:eastAsia="宋体"/>
                <w:b w:val="0"/>
                <w:color w:val="000000"/>
                <w:sz w:val="20"/>
              </w:rPr>
              <w:t>水</w:t>
            </w:r>
          </w:p>
        </w:tc>
        <w:tc>
          <w:tcPr>
            <w:tcW w:type="dxa" w:w="3489"/>
          </w:tcPr>
          <w:p>
            <w:pPr>
              <w:jc w:val="center"/>
            </w:pPr>
            <w:r/>
            <w:r>
              <w:rPr>
                <w:rFonts w:ascii="宋体" w:hAnsi="宋体" w:eastAsia="宋体"/>
                <w:b w:val="0"/>
                <w:color w:val="000000"/>
                <w:sz w:val="20"/>
              </w:rPr>
              <w:t>325</w:t>
            </w:r>
          </w:p>
        </w:tc>
      </w:tr>
      <w:tr>
        <w:tc>
          <w:tcPr>
            <w:tcW w:type="dxa" w:w="3489"/>
          </w:tcPr>
          <w:p>
            <w:pPr>
              <w:jc w:val="center"/>
            </w:pPr>
            <w:r/>
            <w:r>
              <w:rPr>
                <w:rFonts w:ascii="宋体" w:hAnsi="宋体" w:eastAsia="宋体"/>
                <w:b w:val="0"/>
                <w:color w:val="000000"/>
                <w:sz w:val="20"/>
              </w:rPr>
              <w:t>7</w:t>
            </w:r>
          </w:p>
        </w:tc>
        <w:tc>
          <w:tcPr>
            <w:tcW w:type="dxa" w:w="3489"/>
          </w:tcPr>
          <w:p>
            <w:pPr>
              <w:jc w:val="center"/>
            </w:pPr>
            <w:r/>
            <w:r>
              <w:rPr>
                <w:rFonts w:ascii="宋体" w:hAnsi="宋体" w:eastAsia="宋体"/>
                <w:b w:val="0"/>
                <w:color w:val="000000"/>
                <w:sz w:val="20"/>
              </w:rPr>
              <w:t>居民区</w:t>
            </w:r>
          </w:p>
        </w:tc>
        <w:tc>
          <w:tcPr>
            <w:tcW w:type="dxa" w:w="3489"/>
          </w:tcPr>
          <w:p>
            <w:pPr>
              <w:jc w:val="center"/>
            </w:pPr>
            <w:r/>
            <w:r>
              <w:rPr>
                <w:rFonts w:ascii="宋体" w:hAnsi="宋体" w:eastAsia="宋体"/>
                <w:b w:val="0"/>
                <w:color w:val="000000"/>
                <w:sz w:val="20"/>
              </w:rPr>
              <w:t>1268</w:t>
            </w:r>
          </w:p>
        </w:tc>
      </w:tr>
      <w:tr>
        <w:tc>
          <w:tcPr>
            <w:tcW w:type="dxa" w:w="3489"/>
          </w:tcPr>
          <w:p>
            <w:pPr>
              <w:jc w:val="center"/>
            </w:pPr>
            <w:r/>
            <w:r>
              <w:rPr>
                <w:rFonts w:ascii="宋体" w:hAnsi="宋体" w:eastAsia="宋体"/>
                <w:b w:val="0"/>
                <w:color w:val="000000"/>
                <w:sz w:val="20"/>
              </w:rPr>
              <w:t>8</w:t>
            </w:r>
          </w:p>
        </w:tc>
        <w:tc>
          <w:tcPr>
            <w:tcW w:type="dxa" w:w="3489"/>
          </w:tcPr>
          <w:p>
            <w:pPr>
              <w:jc w:val="center"/>
            </w:pPr>
            <w:r/>
            <w:r>
              <w:rPr>
                <w:rFonts w:ascii="宋体" w:hAnsi="宋体" w:eastAsia="宋体"/>
                <w:b w:val="0"/>
                <w:color w:val="000000"/>
                <w:sz w:val="20"/>
              </w:rPr>
              <w:t>商业区</w:t>
            </w:r>
          </w:p>
        </w:tc>
        <w:tc>
          <w:tcPr>
            <w:tcW w:type="dxa" w:w="3489"/>
          </w:tcPr>
          <w:p>
            <w:pPr>
              <w:jc w:val="center"/>
            </w:pPr>
            <w:r/>
            <w:r>
              <w:rPr>
                <w:rFonts w:ascii="宋体" w:hAnsi="宋体" w:eastAsia="宋体"/>
                <w:b w:val="0"/>
                <w:color w:val="000000"/>
                <w:sz w:val="20"/>
              </w:rPr>
              <w:t>1244</w:t>
            </w:r>
          </w:p>
        </w:tc>
      </w:tr>
      <w:tr>
        <w:tc>
          <w:tcPr>
            <w:tcW w:type="dxa" w:w="3489"/>
          </w:tcPr>
          <w:p>
            <w:pPr>
              <w:jc w:val="center"/>
            </w:pPr>
            <w:r/>
            <w:r>
              <w:rPr>
                <w:rFonts w:ascii="宋体" w:hAnsi="宋体" w:eastAsia="宋体"/>
                <w:b w:val="0"/>
                <w:color w:val="000000"/>
                <w:sz w:val="20"/>
              </w:rPr>
              <w:t>9</w:t>
            </w:r>
          </w:p>
        </w:tc>
        <w:tc>
          <w:tcPr>
            <w:tcW w:type="dxa" w:w="3489"/>
          </w:tcPr>
          <w:p>
            <w:pPr>
              <w:jc w:val="center"/>
            </w:pPr>
            <w:r/>
            <w:r>
              <w:rPr>
                <w:rFonts w:ascii="宋体" w:hAnsi="宋体" w:eastAsia="宋体"/>
                <w:b w:val="0"/>
                <w:color w:val="000000"/>
                <w:sz w:val="20"/>
              </w:rPr>
              <w:t>公路</w:t>
            </w:r>
          </w:p>
        </w:tc>
        <w:tc>
          <w:tcPr>
            <w:tcW w:type="dxa" w:w="3489"/>
          </w:tcPr>
          <w:p>
            <w:pPr>
              <w:jc w:val="center"/>
            </w:pPr>
            <w:r/>
            <w:r>
              <w:rPr>
                <w:rFonts w:ascii="宋体" w:hAnsi="宋体" w:eastAsia="宋体"/>
                <w:b w:val="0"/>
                <w:color w:val="000000"/>
                <w:sz w:val="20"/>
              </w:rPr>
              <w:t>1252</w:t>
            </w:r>
          </w:p>
        </w:tc>
      </w:tr>
      <w:tr>
        <w:tc>
          <w:tcPr>
            <w:tcW w:type="dxa" w:w="3489"/>
          </w:tcPr>
          <w:p>
            <w:pPr>
              <w:jc w:val="center"/>
            </w:pPr>
            <w:r/>
            <w:r>
              <w:rPr>
                <w:rFonts w:ascii="宋体" w:hAnsi="宋体" w:eastAsia="宋体"/>
                <w:b w:val="0"/>
                <w:color w:val="000000"/>
                <w:sz w:val="20"/>
              </w:rPr>
              <w:t>10</w:t>
            </w:r>
          </w:p>
        </w:tc>
        <w:tc>
          <w:tcPr>
            <w:tcW w:type="dxa" w:w="3489"/>
          </w:tcPr>
          <w:p>
            <w:pPr>
              <w:jc w:val="center"/>
            </w:pPr>
            <w:r/>
            <w:r>
              <w:rPr>
                <w:rFonts w:ascii="宋体" w:hAnsi="宋体" w:eastAsia="宋体"/>
                <w:b w:val="0"/>
                <w:color w:val="000000"/>
                <w:sz w:val="20"/>
              </w:rPr>
              <w:t>高速路</w:t>
            </w:r>
          </w:p>
        </w:tc>
        <w:tc>
          <w:tcPr>
            <w:tcW w:type="dxa" w:w="3489"/>
          </w:tcPr>
          <w:p>
            <w:pPr>
              <w:jc w:val="center"/>
            </w:pPr>
            <w:r/>
            <w:r>
              <w:rPr>
                <w:rFonts w:ascii="宋体" w:hAnsi="宋体" w:eastAsia="宋体"/>
                <w:b w:val="0"/>
                <w:color w:val="000000"/>
                <w:sz w:val="20"/>
              </w:rPr>
              <w:t>1227</w:t>
            </w:r>
          </w:p>
        </w:tc>
      </w:tr>
      <w:tr>
        <w:tc>
          <w:tcPr>
            <w:tcW w:type="dxa" w:w="3489"/>
          </w:tcPr>
          <w:p>
            <w:pPr>
              <w:jc w:val="center"/>
            </w:pPr>
            <w:r/>
            <w:r>
              <w:rPr>
                <w:rFonts w:ascii="宋体" w:hAnsi="宋体" w:eastAsia="宋体"/>
                <w:b w:val="0"/>
                <w:color w:val="000000"/>
                <w:sz w:val="20"/>
              </w:rPr>
              <w:t>11</w:t>
            </w:r>
          </w:p>
        </w:tc>
        <w:tc>
          <w:tcPr>
            <w:tcW w:type="dxa" w:w="3489"/>
          </w:tcPr>
          <w:p>
            <w:pPr>
              <w:jc w:val="center"/>
            </w:pPr>
            <w:r/>
            <w:r>
              <w:rPr>
                <w:rFonts w:ascii="宋体" w:hAnsi="宋体" w:eastAsia="宋体"/>
                <w:b w:val="0"/>
                <w:color w:val="000000"/>
                <w:sz w:val="20"/>
              </w:rPr>
              <w:t>铁路</w:t>
            </w:r>
          </w:p>
        </w:tc>
        <w:tc>
          <w:tcPr>
            <w:tcW w:type="dxa" w:w="3489"/>
          </w:tcPr>
          <w:p>
            <w:pPr>
              <w:jc w:val="center"/>
            </w:pPr>
            <w:r/>
            <w:r>
              <w:rPr>
                <w:rFonts w:ascii="宋体" w:hAnsi="宋体" w:eastAsia="宋体"/>
                <w:b w:val="0"/>
                <w:color w:val="000000"/>
                <w:sz w:val="20"/>
              </w:rPr>
              <w:t>1235</w:t>
            </w:r>
          </w:p>
        </w:tc>
      </w:tr>
      <w:tr>
        <w:tc>
          <w:tcPr>
            <w:tcW w:type="dxa" w:w="3489"/>
          </w:tcPr>
          <w:p>
            <w:pPr>
              <w:jc w:val="center"/>
            </w:pPr>
            <w:r/>
            <w:r>
              <w:rPr>
                <w:rFonts w:ascii="宋体" w:hAnsi="宋体" w:eastAsia="宋体"/>
                <w:b w:val="0"/>
                <w:color w:val="000000"/>
                <w:sz w:val="20"/>
              </w:rPr>
              <w:t>12</w:t>
            </w:r>
          </w:p>
        </w:tc>
        <w:tc>
          <w:tcPr>
            <w:tcW w:type="dxa" w:w="3489"/>
          </w:tcPr>
          <w:p>
            <w:pPr>
              <w:jc w:val="center"/>
            </w:pPr>
            <w:r/>
            <w:r>
              <w:rPr>
                <w:rFonts w:ascii="宋体" w:hAnsi="宋体" w:eastAsia="宋体"/>
                <w:b w:val="0"/>
                <w:color w:val="000000"/>
                <w:sz w:val="20"/>
              </w:rPr>
              <w:t>停车场-1</w:t>
            </w:r>
          </w:p>
        </w:tc>
        <w:tc>
          <w:tcPr>
            <w:tcW w:type="dxa" w:w="3489"/>
          </w:tcPr>
          <w:p>
            <w:pPr>
              <w:jc w:val="center"/>
            </w:pPr>
            <w:r/>
            <w:r>
              <w:rPr>
                <w:rFonts w:ascii="宋体" w:hAnsi="宋体" w:eastAsia="宋体"/>
                <w:b w:val="0"/>
                <w:color w:val="000000"/>
                <w:sz w:val="20"/>
              </w:rPr>
              <w:t>1233</w:t>
            </w:r>
          </w:p>
        </w:tc>
      </w:tr>
      <w:tr>
        <w:tc>
          <w:tcPr>
            <w:tcW w:type="dxa" w:w="3489"/>
          </w:tcPr>
          <w:p>
            <w:pPr>
              <w:jc w:val="center"/>
            </w:pPr>
            <w:r/>
            <w:r>
              <w:rPr>
                <w:rFonts w:ascii="宋体" w:hAnsi="宋体" w:eastAsia="宋体"/>
                <w:b w:val="0"/>
                <w:color w:val="000000"/>
                <w:sz w:val="20"/>
              </w:rPr>
              <w:t>13</w:t>
            </w:r>
          </w:p>
        </w:tc>
        <w:tc>
          <w:tcPr>
            <w:tcW w:type="dxa" w:w="3489"/>
          </w:tcPr>
          <w:p>
            <w:pPr>
              <w:jc w:val="center"/>
            </w:pPr>
            <w:r/>
            <w:r>
              <w:rPr>
                <w:rFonts w:ascii="宋体" w:hAnsi="宋体" w:eastAsia="宋体"/>
                <w:b w:val="0"/>
                <w:color w:val="000000"/>
                <w:sz w:val="20"/>
              </w:rPr>
              <w:t>停车场-2</w:t>
            </w:r>
          </w:p>
        </w:tc>
        <w:tc>
          <w:tcPr>
            <w:tcW w:type="dxa" w:w="3489"/>
          </w:tcPr>
          <w:p>
            <w:pPr>
              <w:jc w:val="center"/>
            </w:pPr>
            <w:r/>
            <w:r>
              <w:rPr>
                <w:rFonts w:ascii="宋体" w:hAnsi="宋体" w:eastAsia="宋体"/>
                <w:b w:val="0"/>
                <w:color w:val="000000"/>
                <w:sz w:val="20"/>
              </w:rPr>
              <w:t>469</w:t>
            </w:r>
          </w:p>
        </w:tc>
      </w:tr>
      <w:tr>
        <w:tc>
          <w:tcPr>
            <w:tcW w:type="dxa" w:w="3489"/>
          </w:tcPr>
          <w:p>
            <w:pPr>
              <w:jc w:val="center"/>
            </w:pPr>
            <w:r/>
            <w:r>
              <w:rPr>
                <w:rFonts w:ascii="宋体" w:hAnsi="宋体" w:eastAsia="宋体"/>
                <w:b w:val="0"/>
                <w:color w:val="000000"/>
                <w:sz w:val="20"/>
              </w:rPr>
              <w:t>14</w:t>
            </w:r>
          </w:p>
        </w:tc>
        <w:tc>
          <w:tcPr>
            <w:tcW w:type="dxa" w:w="3489"/>
          </w:tcPr>
          <w:p>
            <w:pPr>
              <w:jc w:val="center"/>
            </w:pPr>
            <w:r/>
            <w:r>
              <w:rPr>
                <w:rFonts w:ascii="宋体" w:hAnsi="宋体" w:eastAsia="宋体"/>
                <w:b w:val="0"/>
                <w:color w:val="000000"/>
                <w:sz w:val="20"/>
              </w:rPr>
              <w:t>网球场</w:t>
            </w:r>
          </w:p>
        </w:tc>
        <w:tc>
          <w:tcPr>
            <w:tcW w:type="dxa" w:w="3489"/>
          </w:tcPr>
          <w:p>
            <w:pPr>
              <w:jc w:val="center"/>
            </w:pPr>
            <w:r/>
            <w:r>
              <w:rPr>
                <w:rFonts w:ascii="宋体" w:hAnsi="宋体" w:eastAsia="宋体"/>
                <w:b w:val="0"/>
                <w:color w:val="000000"/>
                <w:sz w:val="20"/>
              </w:rPr>
              <w:t>428</w:t>
            </w:r>
          </w:p>
        </w:tc>
      </w:tr>
      <w:tr>
        <w:tc>
          <w:tcPr>
            <w:tcW w:type="dxa" w:w="3489"/>
          </w:tcPr>
          <w:p>
            <w:pPr>
              <w:jc w:val="center"/>
            </w:pPr>
            <w:r/>
            <w:r>
              <w:rPr>
                <w:rFonts w:ascii="宋体" w:hAnsi="宋体" w:eastAsia="宋体"/>
                <w:b w:val="0"/>
                <w:color w:val="000000"/>
                <w:sz w:val="20"/>
              </w:rPr>
              <w:t>15</w:t>
            </w:r>
          </w:p>
        </w:tc>
        <w:tc>
          <w:tcPr>
            <w:tcW w:type="dxa" w:w="3489"/>
          </w:tcPr>
          <w:p>
            <w:pPr>
              <w:jc w:val="center"/>
            </w:pPr>
            <w:r/>
            <w:r>
              <w:rPr>
                <w:rFonts w:ascii="宋体" w:hAnsi="宋体" w:eastAsia="宋体"/>
                <w:b w:val="0"/>
                <w:color w:val="000000"/>
                <w:sz w:val="20"/>
              </w:rPr>
              <w:t>跑道</w:t>
            </w:r>
          </w:p>
        </w:tc>
        <w:tc>
          <w:tcPr>
            <w:tcW w:type="dxa" w:w="3489"/>
          </w:tcPr>
          <w:p>
            <w:pPr>
              <w:jc w:val="center"/>
            </w:pPr>
            <w:r/>
            <w:r>
              <w:rPr>
                <w:rFonts w:ascii="宋体" w:hAnsi="宋体" w:eastAsia="宋体"/>
                <w:b w:val="0"/>
                <w:color w:val="000000"/>
                <w:sz w:val="20"/>
              </w:rPr>
              <w:t>660</w:t>
            </w:r>
          </w:p>
        </w:tc>
      </w:tr>
      <w:tr>
        <w:tc>
          <w:tcPr>
            <w:tcW w:type="dxa" w:w="3489"/>
          </w:tcPr>
          <w:p>
            <w:pPr>
              <w:jc w:val="center"/>
            </w:pPr>
            <w:r/>
            <w:r>
              <w:rPr>
                <w:rFonts w:ascii="宋体" w:hAnsi="宋体" w:eastAsia="宋体"/>
                <w:b w:val="0"/>
                <w:color w:val="000000"/>
                <w:sz w:val="20"/>
              </w:rPr>
              <w:t>总计</w:t>
            </w:r>
          </w:p>
        </w:tc>
        <w:tc>
          <w:tcPr>
            <w:tcW w:type="dxa" w:w="3489"/>
          </w:tcPr>
          <w:p>
            <w:pPr>
              <w:jc w:val="center"/>
            </w:pPr>
            <w:r/>
            <w:r>
              <w:rPr>
                <w:rFonts w:ascii="宋体" w:hAnsi="宋体" w:eastAsia="宋体"/>
                <w:b w:val="0"/>
                <w:color w:val="000000"/>
                <w:sz w:val="20"/>
              </w:rPr>
            </w:r>
          </w:p>
        </w:tc>
        <w:tc>
          <w:tcPr>
            <w:tcW w:type="dxa" w:w="3489"/>
          </w:tcPr>
          <w:p>
            <w:pPr>
              <w:jc w:val="center"/>
            </w:pPr>
            <w:r/>
            <w:r>
              <w:rPr>
                <w:rFonts w:ascii="宋体" w:hAnsi="宋体" w:eastAsia="宋体"/>
                <w:b w:val="0"/>
                <w:color w:val="000000"/>
                <w:sz w:val="20"/>
              </w:rPr>
              <w:t>15029</w:t>
            </w:r>
          </w:p>
        </w:tc>
      </w:tr>
    </w:tbl>
    <w:p>
      <w:pPr>
        <w:spacing w:before="120" w:after="0"/>
        <w:ind w:firstLine="0"/>
        <w:jc w:val="center"/>
      </w:pPr>
      <w:r>
        <w:rPr>
          <w:rFonts w:ascii="宋体" w:hAnsi="宋体" w:eastAsia="宋体"/>
          <w:b w:val="0"/>
          <w:color w:val="000000"/>
          <w:sz w:val="24"/>
        </w:rPr>
        <w:t>[图 5-7 占位]</w:t>
      </w:r>
    </w:p>
    <w:p>
      <w:pPr>
        <w:spacing w:after="120"/>
        <w:ind w:firstLine="0"/>
        <w:jc w:val="center"/>
      </w:pPr>
      <w:r>
        <w:rPr>
          <w:rFonts w:ascii="宋体" w:hAnsi="宋体" w:eastAsia="宋体"/>
          <w:b w:val="0"/>
          <w:color w:val="000000"/>
          <w:sz w:val="21"/>
        </w:rPr>
        <w:t>图5-7　柏林数据集：(a)假彩色图，(b)SAR灰度图，(c)真实地物分布</w:t>
      </w:r>
    </w:p>
    <w:p>
      <w:pPr>
        <w:spacing w:after="120"/>
        <w:ind w:firstLine="0"/>
        <w:jc w:val="center"/>
      </w:pPr>
      <w:r>
        <w:rPr>
          <w:rFonts w:ascii="宋体" w:hAnsi="宋体" w:eastAsia="宋体"/>
          <w:b w:val="0"/>
          <w:color w:val="000000"/>
          <w:sz w:val="21"/>
        </w:rPr>
        <w:t>表5-2　柏林数据集地物类别情况</w:t>
      </w:r>
    </w:p>
    <w:tbl>
      <w:tblPr>
        <w:tblStyle w:val="af2"/>
        <w:tblW w:type="auto" w:w="0"/>
        <w:jc w:val="center"/>
        <w:tblLook w:firstColumn="1" w:firstRow="1" w:lastColumn="0" w:lastRow="0" w:noHBand="0" w:noVBand="1" w:val="04A0"/>
      </w:tblPr>
      <w:tblGrid>
        <w:gridCol w:w="3489"/>
        <w:gridCol w:w="3489"/>
        <w:gridCol w:w="3489"/>
      </w:tblGrid>
      <w:tr>
        <w:tc>
          <w:tcPr>
            <w:tcW w:type="dxa" w:w="3489"/>
          </w:tcPr>
          <w:p>
            <w:pPr>
              <w:jc w:val="center"/>
            </w:pPr>
            <w:r/>
            <w:r>
              <w:rPr>
                <w:rFonts w:ascii="宋体" w:hAnsi="宋体" w:eastAsia="宋体"/>
                <w:b/>
                <w:color w:val="000000"/>
                <w:sz w:val="20"/>
              </w:rPr>
              <w:t>标号</w:t>
            </w:r>
          </w:p>
        </w:tc>
        <w:tc>
          <w:tcPr>
            <w:tcW w:type="dxa" w:w="3489"/>
          </w:tcPr>
          <w:p>
            <w:pPr>
              <w:jc w:val="center"/>
            </w:pPr>
            <w:r/>
            <w:r>
              <w:rPr>
                <w:rFonts w:ascii="宋体" w:hAnsi="宋体" w:eastAsia="宋体"/>
                <w:b/>
                <w:color w:val="000000"/>
                <w:sz w:val="20"/>
              </w:rPr>
              <w:t>类别名称</w:t>
            </w:r>
          </w:p>
        </w:tc>
        <w:tc>
          <w:tcPr>
            <w:tcW w:type="dxa" w:w="3489"/>
          </w:tcPr>
          <w:p>
            <w:pPr>
              <w:jc w:val="center"/>
            </w:pPr>
            <w:r/>
            <w:r>
              <w:rPr>
                <w:rFonts w:ascii="宋体" w:hAnsi="宋体" w:eastAsia="宋体"/>
                <w:b/>
                <w:color w:val="000000"/>
                <w:sz w:val="20"/>
              </w:rPr>
              <w:t>样本数目</w:t>
            </w:r>
          </w:p>
        </w:tc>
      </w:tr>
      <w:tr>
        <w:tc>
          <w:tcPr>
            <w:tcW w:type="dxa" w:w="3489"/>
          </w:tcPr>
          <w:p>
            <w:pPr>
              <w:jc w:val="center"/>
            </w:pPr>
            <w:r/>
            <w:r>
              <w:rPr>
                <w:rFonts w:ascii="宋体" w:hAnsi="宋体" w:eastAsia="宋体"/>
                <w:b w:val="0"/>
                <w:color w:val="000000"/>
                <w:sz w:val="20"/>
              </w:rPr>
              <w:t>1</w:t>
            </w:r>
          </w:p>
        </w:tc>
        <w:tc>
          <w:tcPr>
            <w:tcW w:type="dxa" w:w="3489"/>
          </w:tcPr>
          <w:p>
            <w:pPr>
              <w:jc w:val="center"/>
            </w:pPr>
            <w:r/>
            <w:r>
              <w:rPr>
                <w:rFonts w:ascii="宋体" w:hAnsi="宋体" w:eastAsia="宋体"/>
                <w:b w:val="0"/>
                <w:color w:val="000000"/>
                <w:sz w:val="20"/>
              </w:rPr>
              <w:t>森林</w:t>
            </w:r>
          </w:p>
        </w:tc>
        <w:tc>
          <w:tcPr>
            <w:tcW w:type="dxa" w:w="3489"/>
          </w:tcPr>
          <w:p>
            <w:pPr>
              <w:jc w:val="center"/>
            </w:pPr>
            <w:r/>
            <w:r>
              <w:rPr>
                <w:rFonts w:ascii="宋体" w:hAnsi="宋体" w:eastAsia="宋体"/>
                <w:b w:val="0"/>
                <w:color w:val="000000"/>
                <w:sz w:val="20"/>
              </w:rPr>
              <w:t>51954</w:t>
            </w:r>
          </w:p>
        </w:tc>
      </w:tr>
      <w:tr>
        <w:tc>
          <w:tcPr>
            <w:tcW w:type="dxa" w:w="3489"/>
          </w:tcPr>
          <w:p>
            <w:pPr>
              <w:jc w:val="center"/>
            </w:pPr>
            <w:r/>
            <w:r>
              <w:rPr>
                <w:rFonts w:ascii="宋体" w:hAnsi="宋体" w:eastAsia="宋体"/>
                <w:b w:val="0"/>
                <w:color w:val="000000"/>
                <w:sz w:val="20"/>
              </w:rPr>
              <w:t>2</w:t>
            </w:r>
          </w:p>
        </w:tc>
        <w:tc>
          <w:tcPr>
            <w:tcW w:type="dxa" w:w="3489"/>
          </w:tcPr>
          <w:p>
            <w:pPr>
              <w:jc w:val="center"/>
            </w:pPr>
            <w:r/>
            <w:r>
              <w:rPr>
                <w:rFonts w:ascii="宋体" w:hAnsi="宋体" w:eastAsia="宋体"/>
                <w:b w:val="0"/>
                <w:color w:val="000000"/>
                <w:sz w:val="20"/>
              </w:rPr>
              <w:t>居民区</w:t>
            </w:r>
          </w:p>
        </w:tc>
        <w:tc>
          <w:tcPr>
            <w:tcW w:type="dxa" w:w="3489"/>
          </w:tcPr>
          <w:p>
            <w:pPr>
              <w:jc w:val="center"/>
            </w:pPr>
            <w:r/>
            <w:r>
              <w:rPr>
                <w:rFonts w:ascii="宋体" w:hAnsi="宋体" w:eastAsia="宋体"/>
                <w:b w:val="0"/>
                <w:color w:val="000000"/>
                <w:sz w:val="20"/>
              </w:rPr>
              <w:t>268642</w:t>
            </w:r>
          </w:p>
        </w:tc>
      </w:tr>
      <w:tr>
        <w:tc>
          <w:tcPr>
            <w:tcW w:type="dxa" w:w="3489"/>
          </w:tcPr>
          <w:p>
            <w:pPr>
              <w:jc w:val="center"/>
            </w:pPr>
            <w:r/>
            <w:r>
              <w:rPr>
                <w:rFonts w:ascii="宋体" w:hAnsi="宋体" w:eastAsia="宋体"/>
                <w:b w:val="0"/>
                <w:color w:val="000000"/>
                <w:sz w:val="20"/>
              </w:rPr>
              <w:t>3</w:t>
            </w:r>
          </w:p>
        </w:tc>
        <w:tc>
          <w:tcPr>
            <w:tcW w:type="dxa" w:w="3489"/>
          </w:tcPr>
          <w:p>
            <w:pPr>
              <w:jc w:val="center"/>
            </w:pPr>
            <w:r/>
            <w:r>
              <w:rPr>
                <w:rFonts w:ascii="宋体" w:hAnsi="宋体" w:eastAsia="宋体"/>
                <w:b w:val="0"/>
                <w:color w:val="000000"/>
                <w:sz w:val="20"/>
              </w:rPr>
              <w:t>工业区</w:t>
            </w:r>
          </w:p>
        </w:tc>
        <w:tc>
          <w:tcPr>
            <w:tcW w:type="dxa" w:w="3489"/>
          </w:tcPr>
          <w:p>
            <w:pPr>
              <w:jc w:val="center"/>
            </w:pPr>
            <w:r/>
            <w:r>
              <w:rPr>
                <w:rFonts w:ascii="宋体" w:hAnsi="宋体" w:eastAsia="宋体"/>
                <w:b w:val="0"/>
                <w:color w:val="000000"/>
                <w:sz w:val="20"/>
              </w:rPr>
              <w:t>19566</w:t>
            </w:r>
          </w:p>
        </w:tc>
      </w:tr>
      <w:tr>
        <w:tc>
          <w:tcPr>
            <w:tcW w:type="dxa" w:w="3489"/>
          </w:tcPr>
          <w:p>
            <w:pPr>
              <w:jc w:val="center"/>
            </w:pPr>
            <w:r/>
            <w:r>
              <w:rPr>
                <w:rFonts w:ascii="宋体" w:hAnsi="宋体" w:eastAsia="宋体"/>
                <w:b w:val="0"/>
                <w:color w:val="000000"/>
                <w:sz w:val="20"/>
              </w:rPr>
              <w:t>4</w:t>
            </w:r>
          </w:p>
        </w:tc>
        <w:tc>
          <w:tcPr>
            <w:tcW w:type="dxa" w:w="3489"/>
          </w:tcPr>
          <w:p>
            <w:pPr>
              <w:jc w:val="center"/>
            </w:pPr>
            <w:r/>
            <w:r>
              <w:rPr>
                <w:rFonts w:ascii="宋体" w:hAnsi="宋体" w:eastAsia="宋体"/>
                <w:b w:val="0"/>
                <w:color w:val="000000"/>
                <w:sz w:val="20"/>
              </w:rPr>
              <w:t>低矮植物</w:t>
            </w:r>
          </w:p>
        </w:tc>
        <w:tc>
          <w:tcPr>
            <w:tcW w:type="dxa" w:w="3489"/>
          </w:tcPr>
          <w:p>
            <w:pPr>
              <w:jc w:val="center"/>
            </w:pPr>
            <w:r/>
            <w:r>
              <w:rPr>
                <w:rFonts w:ascii="宋体" w:hAnsi="宋体" w:eastAsia="宋体"/>
                <w:b w:val="0"/>
                <w:color w:val="000000"/>
                <w:sz w:val="20"/>
              </w:rPr>
              <w:t>59282</w:t>
            </w:r>
          </w:p>
        </w:tc>
      </w:tr>
      <w:tr>
        <w:tc>
          <w:tcPr>
            <w:tcW w:type="dxa" w:w="3489"/>
          </w:tcPr>
          <w:p>
            <w:pPr>
              <w:jc w:val="center"/>
            </w:pPr>
            <w:r/>
            <w:r>
              <w:rPr>
                <w:rFonts w:ascii="宋体" w:hAnsi="宋体" w:eastAsia="宋体"/>
                <w:b w:val="0"/>
                <w:color w:val="000000"/>
                <w:sz w:val="20"/>
              </w:rPr>
              <w:t>5</w:t>
            </w:r>
          </w:p>
        </w:tc>
        <w:tc>
          <w:tcPr>
            <w:tcW w:type="dxa" w:w="3489"/>
          </w:tcPr>
          <w:p>
            <w:pPr>
              <w:jc w:val="center"/>
            </w:pPr>
            <w:r/>
            <w:r>
              <w:rPr>
                <w:rFonts w:ascii="宋体" w:hAnsi="宋体" w:eastAsia="宋体"/>
                <w:b w:val="0"/>
                <w:color w:val="000000"/>
                <w:sz w:val="20"/>
              </w:rPr>
              <w:t>土壤</w:t>
            </w:r>
          </w:p>
        </w:tc>
        <w:tc>
          <w:tcPr>
            <w:tcW w:type="dxa" w:w="3489"/>
          </w:tcPr>
          <w:p>
            <w:pPr>
              <w:jc w:val="center"/>
            </w:pPr>
            <w:r/>
            <w:r>
              <w:rPr>
                <w:rFonts w:ascii="宋体" w:hAnsi="宋体" w:eastAsia="宋体"/>
                <w:b w:val="0"/>
                <w:color w:val="000000"/>
                <w:sz w:val="20"/>
              </w:rPr>
              <w:t>17426</w:t>
            </w:r>
          </w:p>
        </w:tc>
      </w:tr>
      <w:tr>
        <w:tc>
          <w:tcPr>
            <w:tcW w:type="dxa" w:w="3489"/>
          </w:tcPr>
          <w:p>
            <w:pPr>
              <w:jc w:val="center"/>
            </w:pPr>
            <w:r/>
            <w:r>
              <w:rPr>
                <w:rFonts w:ascii="宋体" w:hAnsi="宋体" w:eastAsia="宋体"/>
                <w:b w:val="0"/>
                <w:color w:val="000000"/>
                <w:sz w:val="20"/>
              </w:rPr>
              <w:t>6</w:t>
            </w:r>
          </w:p>
        </w:tc>
        <w:tc>
          <w:tcPr>
            <w:tcW w:type="dxa" w:w="3489"/>
          </w:tcPr>
          <w:p>
            <w:pPr>
              <w:jc w:val="center"/>
            </w:pPr>
            <w:r/>
            <w:r>
              <w:rPr>
                <w:rFonts w:ascii="宋体" w:hAnsi="宋体" w:eastAsia="宋体"/>
                <w:b w:val="0"/>
                <w:color w:val="000000"/>
                <w:sz w:val="20"/>
              </w:rPr>
              <w:t>家庭菜园</w:t>
            </w:r>
          </w:p>
        </w:tc>
        <w:tc>
          <w:tcPr>
            <w:tcW w:type="dxa" w:w="3489"/>
          </w:tcPr>
          <w:p>
            <w:pPr>
              <w:jc w:val="center"/>
            </w:pPr>
            <w:r/>
            <w:r>
              <w:rPr>
                <w:rFonts w:ascii="宋体" w:hAnsi="宋体" w:eastAsia="宋体"/>
                <w:b w:val="0"/>
                <w:color w:val="000000"/>
                <w:sz w:val="20"/>
              </w:rPr>
              <w:t>13305</w:t>
            </w:r>
          </w:p>
        </w:tc>
      </w:tr>
      <w:tr>
        <w:tc>
          <w:tcPr>
            <w:tcW w:type="dxa" w:w="3489"/>
          </w:tcPr>
          <w:p>
            <w:pPr>
              <w:jc w:val="center"/>
            </w:pPr>
            <w:r/>
            <w:r>
              <w:rPr>
                <w:rFonts w:ascii="宋体" w:hAnsi="宋体" w:eastAsia="宋体"/>
                <w:b w:val="0"/>
                <w:color w:val="000000"/>
                <w:sz w:val="20"/>
              </w:rPr>
              <w:t>7</w:t>
            </w:r>
          </w:p>
        </w:tc>
        <w:tc>
          <w:tcPr>
            <w:tcW w:type="dxa" w:w="3489"/>
          </w:tcPr>
          <w:p>
            <w:pPr>
              <w:jc w:val="center"/>
            </w:pPr>
            <w:r/>
            <w:r>
              <w:rPr>
                <w:rFonts w:ascii="宋体" w:hAnsi="宋体" w:eastAsia="宋体"/>
                <w:b w:val="0"/>
                <w:color w:val="000000"/>
                <w:sz w:val="20"/>
              </w:rPr>
              <w:t>商业区</w:t>
            </w:r>
          </w:p>
        </w:tc>
        <w:tc>
          <w:tcPr>
            <w:tcW w:type="dxa" w:w="3489"/>
          </w:tcPr>
          <w:p>
            <w:pPr>
              <w:jc w:val="center"/>
            </w:pPr>
            <w:r/>
            <w:r>
              <w:rPr>
                <w:rFonts w:ascii="宋体" w:hAnsi="宋体" w:eastAsia="宋体"/>
                <w:b w:val="0"/>
                <w:color w:val="000000"/>
                <w:sz w:val="20"/>
              </w:rPr>
              <w:t>24824</w:t>
            </w:r>
          </w:p>
        </w:tc>
      </w:tr>
      <w:tr>
        <w:tc>
          <w:tcPr>
            <w:tcW w:type="dxa" w:w="3489"/>
          </w:tcPr>
          <w:p>
            <w:pPr>
              <w:jc w:val="center"/>
            </w:pPr>
            <w:r/>
            <w:r>
              <w:rPr>
                <w:rFonts w:ascii="宋体" w:hAnsi="宋体" w:eastAsia="宋体"/>
                <w:b w:val="0"/>
                <w:color w:val="000000"/>
                <w:sz w:val="20"/>
              </w:rPr>
              <w:t>8</w:t>
            </w:r>
          </w:p>
        </w:tc>
        <w:tc>
          <w:tcPr>
            <w:tcW w:type="dxa" w:w="3489"/>
          </w:tcPr>
          <w:p>
            <w:pPr>
              <w:jc w:val="center"/>
            </w:pPr>
            <w:r/>
            <w:r>
              <w:rPr>
                <w:rFonts w:ascii="宋体" w:hAnsi="宋体" w:eastAsia="宋体"/>
                <w:b w:val="0"/>
                <w:color w:val="000000"/>
                <w:sz w:val="20"/>
              </w:rPr>
              <w:t>水</w:t>
            </w:r>
          </w:p>
        </w:tc>
        <w:tc>
          <w:tcPr>
            <w:tcW w:type="dxa" w:w="3489"/>
          </w:tcPr>
          <w:p>
            <w:pPr>
              <w:jc w:val="center"/>
            </w:pPr>
            <w:r/>
            <w:r>
              <w:rPr>
                <w:rFonts w:ascii="宋体" w:hAnsi="宋体" w:eastAsia="宋体"/>
                <w:b w:val="0"/>
                <w:color w:val="000000"/>
                <w:sz w:val="20"/>
              </w:rPr>
              <w:t>6672</w:t>
            </w:r>
          </w:p>
        </w:tc>
      </w:tr>
      <w:tr>
        <w:tc>
          <w:tcPr>
            <w:tcW w:type="dxa" w:w="3489"/>
          </w:tcPr>
          <w:p>
            <w:pPr>
              <w:jc w:val="center"/>
            </w:pPr>
            <w:r/>
            <w:r>
              <w:rPr>
                <w:rFonts w:ascii="宋体" w:hAnsi="宋体" w:eastAsia="宋体"/>
                <w:b w:val="0"/>
                <w:color w:val="000000"/>
                <w:sz w:val="20"/>
              </w:rPr>
              <w:t>总计</w:t>
            </w:r>
          </w:p>
        </w:tc>
        <w:tc>
          <w:tcPr>
            <w:tcW w:type="dxa" w:w="3489"/>
          </w:tcPr>
          <w:p>
            <w:pPr>
              <w:jc w:val="center"/>
            </w:pPr>
            <w:r/>
            <w:r>
              <w:rPr>
                <w:rFonts w:ascii="宋体" w:hAnsi="宋体" w:eastAsia="宋体"/>
                <w:b w:val="0"/>
                <w:color w:val="000000"/>
                <w:sz w:val="20"/>
              </w:rPr>
            </w:r>
          </w:p>
        </w:tc>
        <w:tc>
          <w:tcPr>
            <w:tcW w:type="dxa" w:w="3489"/>
          </w:tcPr>
          <w:p>
            <w:pPr>
              <w:jc w:val="center"/>
            </w:pPr>
            <w:r/>
            <w:r>
              <w:rPr>
                <w:rFonts w:ascii="宋体" w:hAnsi="宋体" w:eastAsia="宋体"/>
                <w:b w:val="0"/>
                <w:color w:val="000000"/>
                <w:sz w:val="20"/>
              </w:rPr>
              <w:t>464671</w:t>
            </w:r>
          </w:p>
        </w:tc>
      </w:tr>
    </w:tbl>
    <w:p>
      <w:pPr>
        <w:spacing w:before="120" w:after="0"/>
        <w:ind w:firstLine="0"/>
        <w:jc w:val="center"/>
      </w:pPr>
      <w:r>
        <w:rPr>
          <w:rFonts w:ascii="宋体" w:hAnsi="宋体" w:eastAsia="宋体"/>
          <w:b w:val="0"/>
          <w:color w:val="000000"/>
          <w:sz w:val="24"/>
        </w:rPr>
        <w:t>[图 5-8 占位]</w:t>
      </w:r>
    </w:p>
    <w:p>
      <w:pPr>
        <w:spacing w:after="120"/>
        <w:ind w:firstLine="0"/>
        <w:jc w:val="center"/>
      </w:pPr>
      <w:r>
        <w:rPr>
          <w:rFonts w:ascii="宋体" w:hAnsi="宋体" w:eastAsia="宋体"/>
          <w:b w:val="0"/>
          <w:color w:val="000000"/>
          <w:sz w:val="21"/>
        </w:rPr>
        <w:t>图5-8　密西西比大学数据集：(a)假彩色图，(b)LiDAR灰度图，(c)真实地物分布</w:t>
      </w:r>
    </w:p>
    <w:p>
      <w:pPr>
        <w:spacing w:after="120"/>
        <w:ind w:firstLine="0"/>
        <w:jc w:val="center"/>
      </w:pPr>
      <w:r>
        <w:rPr>
          <w:rFonts w:ascii="宋体" w:hAnsi="宋体" w:eastAsia="宋体"/>
          <w:b w:val="0"/>
          <w:color w:val="000000"/>
          <w:sz w:val="21"/>
        </w:rPr>
        <w:t>表5-3　密西西比大学数据集地物类别情况</w:t>
      </w:r>
    </w:p>
    <w:tbl>
      <w:tblPr>
        <w:tblStyle w:val="af2"/>
        <w:tblW w:type="auto" w:w="0"/>
        <w:jc w:val="center"/>
        <w:tblLook w:firstColumn="1" w:firstRow="1" w:lastColumn="0" w:lastRow="0" w:noHBand="0" w:noVBand="1" w:val="04A0"/>
      </w:tblPr>
      <w:tblGrid>
        <w:gridCol w:w="3489"/>
        <w:gridCol w:w="3489"/>
        <w:gridCol w:w="3489"/>
      </w:tblGrid>
      <w:tr>
        <w:tc>
          <w:tcPr>
            <w:tcW w:type="dxa" w:w="3489"/>
          </w:tcPr>
          <w:p>
            <w:pPr>
              <w:jc w:val="center"/>
            </w:pPr>
            <w:r/>
            <w:r>
              <w:rPr>
                <w:rFonts w:ascii="宋体" w:hAnsi="宋体" w:eastAsia="宋体"/>
                <w:b/>
                <w:color w:val="000000"/>
                <w:sz w:val="20"/>
              </w:rPr>
              <w:t>标号</w:t>
            </w:r>
          </w:p>
        </w:tc>
        <w:tc>
          <w:tcPr>
            <w:tcW w:type="dxa" w:w="3489"/>
          </w:tcPr>
          <w:p>
            <w:pPr>
              <w:jc w:val="center"/>
            </w:pPr>
            <w:r/>
            <w:r>
              <w:rPr>
                <w:rFonts w:ascii="宋体" w:hAnsi="宋体" w:eastAsia="宋体"/>
                <w:b/>
                <w:color w:val="000000"/>
                <w:sz w:val="20"/>
              </w:rPr>
              <w:t>类别名称</w:t>
            </w:r>
          </w:p>
        </w:tc>
        <w:tc>
          <w:tcPr>
            <w:tcW w:type="dxa" w:w="3489"/>
          </w:tcPr>
          <w:p>
            <w:pPr>
              <w:jc w:val="center"/>
            </w:pPr>
            <w:r/>
            <w:r>
              <w:rPr>
                <w:rFonts w:ascii="宋体" w:hAnsi="宋体" w:eastAsia="宋体"/>
                <w:b/>
                <w:color w:val="000000"/>
                <w:sz w:val="20"/>
              </w:rPr>
              <w:t>样本数目</w:t>
            </w:r>
          </w:p>
        </w:tc>
      </w:tr>
      <w:tr>
        <w:tc>
          <w:tcPr>
            <w:tcW w:type="dxa" w:w="3489"/>
          </w:tcPr>
          <w:p>
            <w:pPr>
              <w:jc w:val="center"/>
            </w:pPr>
            <w:r/>
            <w:r>
              <w:rPr>
                <w:rFonts w:ascii="宋体" w:hAnsi="宋体" w:eastAsia="宋体"/>
                <w:b w:val="0"/>
                <w:color w:val="000000"/>
                <w:sz w:val="20"/>
              </w:rPr>
              <w:t>1</w:t>
            </w:r>
          </w:p>
        </w:tc>
        <w:tc>
          <w:tcPr>
            <w:tcW w:type="dxa" w:w="3489"/>
          </w:tcPr>
          <w:p>
            <w:pPr>
              <w:jc w:val="center"/>
            </w:pPr>
            <w:r/>
            <w:r>
              <w:rPr>
                <w:rFonts w:ascii="宋体" w:hAnsi="宋体" w:eastAsia="宋体"/>
                <w:b w:val="0"/>
                <w:color w:val="000000"/>
                <w:sz w:val="20"/>
              </w:rPr>
              <w:t>树木</w:t>
            </w:r>
          </w:p>
        </w:tc>
        <w:tc>
          <w:tcPr>
            <w:tcW w:type="dxa" w:w="3489"/>
          </w:tcPr>
          <w:p>
            <w:pPr>
              <w:jc w:val="center"/>
            </w:pPr>
            <w:r/>
            <w:r>
              <w:rPr>
                <w:rFonts w:ascii="宋体" w:hAnsi="宋体" w:eastAsia="宋体"/>
                <w:b w:val="0"/>
                <w:color w:val="000000"/>
                <w:sz w:val="20"/>
              </w:rPr>
              <w:t>23246</w:t>
            </w:r>
          </w:p>
        </w:tc>
      </w:tr>
      <w:tr>
        <w:tc>
          <w:tcPr>
            <w:tcW w:type="dxa" w:w="3489"/>
          </w:tcPr>
          <w:p>
            <w:pPr>
              <w:jc w:val="center"/>
            </w:pPr>
            <w:r/>
            <w:r>
              <w:rPr>
                <w:rFonts w:ascii="宋体" w:hAnsi="宋体" w:eastAsia="宋体"/>
                <w:b w:val="0"/>
                <w:color w:val="000000"/>
                <w:sz w:val="20"/>
              </w:rPr>
              <w:t>2</w:t>
            </w:r>
          </w:p>
        </w:tc>
        <w:tc>
          <w:tcPr>
            <w:tcW w:type="dxa" w:w="3489"/>
          </w:tcPr>
          <w:p>
            <w:pPr>
              <w:jc w:val="center"/>
            </w:pPr>
            <w:r/>
            <w:r>
              <w:rPr>
                <w:rFonts w:ascii="宋体" w:hAnsi="宋体" w:eastAsia="宋体"/>
                <w:b w:val="0"/>
                <w:color w:val="000000"/>
                <w:sz w:val="20"/>
              </w:rPr>
              <w:t>草地</w:t>
            </w:r>
          </w:p>
        </w:tc>
        <w:tc>
          <w:tcPr>
            <w:tcW w:type="dxa" w:w="3489"/>
          </w:tcPr>
          <w:p>
            <w:pPr>
              <w:jc w:val="center"/>
            </w:pPr>
            <w:r/>
            <w:r>
              <w:rPr>
                <w:rFonts w:ascii="宋体" w:hAnsi="宋体" w:eastAsia="宋体"/>
                <w:b w:val="0"/>
                <w:color w:val="000000"/>
                <w:sz w:val="20"/>
              </w:rPr>
              <w:t>4270</w:t>
            </w:r>
          </w:p>
        </w:tc>
      </w:tr>
      <w:tr>
        <w:tc>
          <w:tcPr>
            <w:tcW w:type="dxa" w:w="3489"/>
          </w:tcPr>
          <w:p>
            <w:pPr>
              <w:jc w:val="center"/>
            </w:pPr>
            <w:r/>
            <w:r>
              <w:rPr>
                <w:rFonts w:ascii="宋体" w:hAnsi="宋体" w:eastAsia="宋体"/>
                <w:b w:val="0"/>
                <w:color w:val="000000"/>
                <w:sz w:val="20"/>
              </w:rPr>
              <w:t>3</w:t>
            </w:r>
          </w:p>
        </w:tc>
        <w:tc>
          <w:tcPr>
            <w:tcW w:type="dxa" w:w="3489"/>
          </w:tcPr>
          <w:p>
            <w:pPr>
              <w:jc w:val="center"/>
            </w:pPr>
            <w:r/>
            <w:r>
              <w:rPr>
                <w:rFonts w:ascii="宋体" w:hAnsi="宋体" w:eastAsia="宋体"/>
                <w:b w:val="0"/>
                <w:color w:val="000000"/>
                <w:sz w:val="20"/>
              </w:rPr>
              <w:t>混合地表</w:t>
            </w:r>
          </w:p>
        </w:tc>
        <w:tc>
          <w:tcPr>
            <w:tcW w:type="dxa" w:w="3489"/>
          </w:tcPr>
          <w:p>
            <w:pPr>
              <w:jc w:val="center"/>
            </w:pPr>
            <w:r/>
            <w:r>
              <w:rPr>
                <w:rFonts w:ascii="宋体" w:hAnsi="宋体" w:eastAsia="宋体"/>
                <w:b w:val="0"/>
                <w:color w:val="000000"/>
                <w:sz w:val="20"/>
              </w:rPr>
              <w:t>6882</w:t>
            </w:r>
          </w:p>
        </w:tc>
      </w:tr>
      <w:tr>
        <w:tc>
          <w:tcPr>
            <w:tcW w:type="dxa" w:w="3489"/>
          </w:tcPr>
          <w:p>
            <w:pPr>
              <w:jc w:val="center"/>
            </w:pPr>
            <w:r/>
            <w:r>
              <w:rPr>
                <w:rFonts w:ascii="宋体" w:hAnsi="宋体" w:eastAsia="宋体"/>
                <w:b w:val="0"/>
                <w:color w:val="000000"/>
                <w:sz w:val="20"/>
              </w:rPr>
              <w:t>4</w:t>
            </w:r>
          </w:p>
        </w:tc>
        <w:tc>
          <w:tcPr>
            <w:tcW w:type="dxa" w:w="3489"/>
          </w:tcPr>
          <w:p>
            <w:pPr>
              <w:jc w:val="center"/>
            </w:pPr>
            <w:r/>
            <w:r>
              <w:rPr>
                <w:rFonts w:ascii="宋体" w:hAnsi="宋体" w:eastAsia="宋体"/>
                <w:b w:val="0"/>
                <w:color w:val="000000"/>
                <w:sz w:val="20"/>
              </w:rPr>
              <w:t>裸土和沙地</w:t>
            </w:r>
          </w:p>
        </w:tc>
        <w:tc>
          <w:tcPr>
            <w:tcW w:type="dxa" w:w="3489"/>
          </w:tcPr>
          <w:p>
            <w:pPr>
              <w:jc w:val="center"/>
            </w:pPr>
            <w:r/>
            <w:r>
              <w:rPr>
                <w:rFonts w:ascii="宋体" w:hAnsi="宋体" w:eastAsia="宋体"/>
                <w:b w:val="0"/>
                <w:color w:val="000000"/>
                <w:sz w:val="20"/>
              </w:rPr>
              <w:t>1826</w:t>
            </w:r>
          </w:p>
        </w:tc>
      </w:tr>
      <w:tr>
        <w:tc>
          <w:tcPr>
            <w:tcW w:type="dxa" w:w="3489"/>
          </w:tcPr>
          <w:p>
            <w:pPr>
              <w:jc w:val="center"/>
            </w:pPr>
            <w:r/>
            <w:r>
              <w:rPr>
                <w:rFonts w:ascii="宋体" w:hAnsi="宋体" w:eastAsia="宋体"/>
                <w:b w:val="0"/>
                <w:color w:val="000000"/>
                <w:sz w:val="20"/>
              </w:rPr>
              <w:t>5</w:t>
            </w:r>
          </w:p>
        </w:tc>
        <w:tc>
          <w:tcPr>
            <w:tcW w:type="dxa" w:w="3489"/>
          </w:tcPr>
          <w:p>
            <w:pPr>
              <w:jc w:val="center"/>
            </w:pPr>
            <w:r/>
            <w:r>
              <w:rPr>
                <w:rFonts w:ascii="宋体" w:hAnsi="宋体" w:eastAsia="宋体"/>
                <w:b w:val="0"/>
                <w:color w:val="000000"/>
                <w:sz w:val="20"/>
              </w:rPr>
              <w:t>公路</w:t>
            </w:r>
          </w:p>
        </w:tc>
        <w:tc>
          <w:tcPr>
            <w:tcW w:type="dxa" w:w="3489"/>
          </w:tcPr>
          <w:p>
            <w:pPr>
              <w:jc w:val="center"/>
            </w:pPr>
            <w:r/>
            <w:r>
              <w:rPr>
                <w:rFonts w:ascii="宋体" w:hAnsi="宋体" w:eastAsia="宋体"/>
                <w:b w:val="0"/>
                <w:color w:val="000000"/>
                <w:sz w:val="20"/>
              </w:rPr>
              <w:t>6687</w:t>
            </w:r>
          </w:p>
        </w:tc>
      </w:tr>
      <w:tr>
        <w:tc>
          <w:tcPr>
            <w:tcW w:type="dxa" w:w="3489"/>
          </w:tcPr>
          <w:p>
            <w:pPr>
              <w:jc w:val="center"/>
            </w:pPr>
            <w:r/>
            <w:r>
              <w:rPr>
                <w:rFonts w:ascii="宋体" w:hAnsi="宋体" w:eastAsia="宋体"/>
                <w:b w:val="0"/>
                <w:color w:val="000000"/>
                <w:sz w:val="20"/>
              </w:rPr>
              <w:t>6</w:t>
            </w:r>
          </w:p>
        </w:tc>
        <w:tc>
          <w:tcPr>
            <w:tcW w:type="dxa" w:w="3489"/>
          </w:tcPr>
          <w:p>
            <w:pPr>
              <w:jc w:val="center"/>
            </w:pPr>
            <w:r/>
            <w:r>
              <w:rPr>
                <w:rFonts w:ascii="宋体" w:hAnsi="宋体" w:eastAsia="宋体"/>
                <w:b w:val="0"/>
                <w:color w:val="000000"/>
                <w:sz w:val="20"/>
              </w:rPr>
              <w:t>水</w:t>
            </w:r>
          </w:p>
        </w:tc>
        <w:tc>
          <w:tcPr>
            <w:tcW w:type="dxa" w:w="3489"/>
          </w:tcPr>
          <w:p>
            <w:pPr>
              <w:jc w:val="center"/>
            </w:pPr>
            <w:r/>
            <w:r>
              <w:rPr>
                <w:rFonts w:ascii="宋体" w:hAnsi="宋体" w:eastAsia="宋体"/>
                <w:b w:val="0"/>
                <w:color w:val="000000"/>
                <w:sz w:val="20"/>
              </w:rPr>
              <w:t>466</w:t>
            </w:r>
          </w:p>
        </w:tc>
      </w:tr>
      <w:tr>
        <w:tc>
          <w:tcPr>
            <w:tcW w:type="dxa" w:w="3489"/>
          </w:tcPr>
          <w:p>
            <w:pPr>
              <w:jc w:val="center"/>
            </w:pPr>
            <w:r/>
            <w:r>
              <w:rPr>
                <w:rFonts w:ascii="宋体" w:hAnsi="宋体" w:eastAsia="宋体"/>
                <w:b w:val="0"/>
                <w:color w:val="000000"/>
                <w:sz w:val="20"/>
              </w:rPr>
              <w:t>7</w:t>
            </w:r>
          </w:p>
        </w:tc>
        <w:tc>
          <w:tcPr>
            <w:tcW w:type="dxa" w:w="3489"/>
          </w:tcPr>
          <w:p>
            <w:pPr>
              <w:jc w:val="center"/>
            </w:pPr>
            <w:r/>
            <w:r>
              <w:rPr>
                <w:rFonts w:ascii="宋体" w:hAnsi="宋体" w:eastAsia="宋体"/>
                <w:b w:val="0"/>
                <w:color w:val="000000"/>
                <w:sz w:val="20"/>
              </w:rPr>
              <w:t>建筑阴影</w:t>
            </w:r>
          </w:p>
        </w:tc>
        <w:tc>
          <w:tcPr>
            <w:tcW w:type="dxa" w:w="3489"/>
          </w:tcPr>
          <w:p>
            <w:pPr>
              <w:jc w:val="center"/>
            </w:pPr>
            <w:r/>
            <w:r>
              <w:rPr>
                <w:rFonts w:ascii="宋体" w:hAnsi="宋体" w:eastAsia="宋体"/>
                <w:b w:val="0"/>
                <w:color w:val="000000"/>
                <w:sz w:val="20"/>
              </w:rPr>
              <w:t>2233</w:t>
            </w:r>
          </w:p>
        </w:tc>
      </w:tr>
      <w:tr>
        <w:tc>
          <w:tcPr>
            <w:tcW w:type="dxa" w:w="3489"/>
          </w:tcPr>
          <w:p>
            <w:pPr>
              <w:jc w:val="center"/>
            </w:pPr>
            <w:r/>
            <w:r>
              <w:rPr>
                <w:rFonts w:ascii="宋体" w:hAnsi="宋体" w:eastAsia="宋体"/>
                <w:b w:val="0"/>
                <w:color w:val="000000"/>
                <w:sz w:val="20"/>
              </w:rPr>
              <w:t>8</w:t>
            </w:r>
          </w:p>
        </w:tc>
        <w:tc>
          <w:tcPr>
            <w:tcW w:type="dxa" w:w="3489"/>
          </w:tcPr>
          <w:p>
            <w:pPr>
              <w:jc w:val="center"/>
            </w:pPr>
            <w:r/>
            <w:r>
              <w:rPr>
                <w:rFonts w:ascii="宋体" w:hAnsi="宋体" w:eastAsia="宋体"/>
                <w:b w:val="0"/>
                <w:color w:val="000000"/>
                <w:sz w:val="20"/>
              </w:rPr>
              <w:t>建筑</w:t>
            </w:r>
          </w:p>
        </w:tc>
        <w:tc>
          <w:tcPr>
            <w:tcW w:type="dxa" w:w="3489"/>
          </w:tcPr>
          <w:p>
            <w:pPr>
              <w:jc w:val="center"/>
            </w:pPr>
            <w:r/>
            <w:r>
              <w:rPr>
                <w:rFonts w:ascii="宋体" w:hAnsi="宋体" w:eastAsia="宋体"/>
                <w:b w:val="0"/>
                <w:color w:val="000000"/>
                <w:sz w:val="20"/>
              </w:rPr>
              <w:t>6240</w:t>
            </w:r>
          </w:p>
        </w:tc>
      </w:tr>
      <w:tr>
        <w:tc>
          <w:tcPr>
            <w:tcW w:type="dxa" w:w="3489"/>
          </w:tcPr>
          <w:p>
            <w:pPr>
              <w:jc w:val="center"/>
            </w:pPr>
            <w:r/>
            <w:r>
              <w:rPr>
                <w:rFonts w:ascii="宋体" w:hAnsi="宋体" w:eastAsia="宋体"/>
                <w:b w:val="0"/>
                <w:color w:val="000000"/>
                <w:sz w:val="20"/>
              </w:rPr>
              <w:t>9</w:t>
            </w:r>
          </w:p>
        </w:tc>
        <w:tc>
          <w:tcPr>
            <w:tcW w:type="dxa" w:w="3489"/>
          </w:tcPr>
          <w:p>
            <w:pPr>
              <w:jc w:val="center"/>
            </w:pPr>
            <w:r/>
            <w:r>
              <w:rPr>
                <w:rFonts w:ascii="宋体" w:hAnsi="宋体" w:eastAsia="宋体"/>
                <w:b w:val="0"/>
                <w:color w:val="000000"/>
                <w:sz w:val="20"/>
              </w:rPr>
              <w:t>人行道</w:t>
            </w:r>
          </w:p>
        </w:tc>
        <w:tc>
          <w:tcPr>
            <w:tcW w:type="dxa" w:w="3489"/>
          </w:tcPr>
          <w:p>
            <w:pPr>
              <w:jc w:val="center"/>
            </w:pPr>
            <w:r/>
            <w:r>
              <w:rPr>
                <w:rFonts w:ascii="宋体" w:hAnsi="宋体" w:eastAsia="宋体"/>
                <w:b w:val="0"/>
                <w:color w:val="000000"/>
                <w:sz w:val="20"/>
              </w:rPr>
              <w:t>1385</w:t>
            </w:r>
          </w:p>
        </w:tc>
      </w:tr>
      <w:tr>
        <w:tc>
          <w:tcPr>
            <w:tcW w:type="dxa" w:w="3489"/>
          </w:tcPr>
          <w:p>
            <w:pPr>
              <w:jc w:val="center"/>
            </w:pPr>
            <w:r/>
            <w:r>
              <w:rPr>
                <w:rFonts w:ascii="宋体" w:hAnsi="宋体" w:eastAsia="宋体"/>
                <w:b w:val="0"/>
                <w:color w:val="000000"/>
                <w:sz w:val="20"/>
              </w:rPr>
              <w:t>10</w:t>
            </w:r>
          </w:p>
        </w:tc>
        <w:tc>
          <w:tcPr>
            <w:tcW w:type="dxa" w:w="3489"/>
          </w:tcPr>
          <w:p>
            <w:pPr>
              <w:jc w:val="center"/>
            </w:pPr>
            <w:r/>
            <w:r>
              <w:rPr>
                <w:rFonts w:ascii="宋体" w:hAnsi="宋体" w:eastAsia="宋体"/>
                <w:b w:val="0"/>
                <w:color w:val="000000"/>
                <w:sz w:val="20"/>
              </w:rPr>
              <w:t>黄色路缘</w:t>
            </w:r>
          </w:p>
        </w:tc>
        <w:tc>
          <w:tcPr>
            <w:tcW w:type="dxa" w:w="3489"/>
          </w:tcPr>
          <w:p>
            <w:pPr>
              <w:jc w:val="center"/>
            </w:pPr>
            <w:r/>
            <w:r>
              <w:rPr>
                <w:rFonts w:ascii="宋体" w:hAnsi="宋体" w:eastAsia="宋体"/>
                <w:b w:val="0"/>
                <w:color w:val="000000"/>
                <w:sz w:val="20"/>
              </w:rPr>
              <w:t>183</w:t>
            </w:r>
          </w:p>
        </w:tc>
      </w:tr>
      <w:tr>
        <w:tc>
          <w:tcPr>
            <w:tcW w:type="dxa" w:w="3489"/>
          </w:tcPr>
          <w:p>
            <w:pPr>
              <w:jc w:val="center"/>
            </w:pPr>
            <w:r/>
            <w:r>
              <w:rPr>
                <w:rFonts w:ascii="宋体" w:hAnsi="宋体" w:eastAsia="宋体"/>
                <w:b w:val="0"/>
                <w:color w:val="000000"/>
                <w:sz w:val="20"/>
              </w:rPr>
              <w:t>11</w:t>
            </w:r>
          </w:p>
        </w:tc>
        <w:tc>
          <w:tcPr>
            <w:tcW w:type="dxa" w:w="3489"/>
          </w:tcPr>
          <w:p>
            <w:pPr>
              <w:jc w:val="center"/>
            </w:pPr>
            <w:r/>
            <w:r>
              <w:rPr>
                <w:rFonts w:ascii="宋体" w:hAnsi="宋体" w:eastAsia="宋体"/>
                <w:b w:val="0"/>
                <w:color w:val="000000"/>
                <w:sz w:val="20"/>
              </w:rPr>
              <w:t>布制覆盖板</w:t>
            </w:r>
          </w:p>
        </w:tc>
        <w:tc>
          <w:tcPr>
            <w:tcW w:type="dxa" w:w="3489"/>
          </w:tcPr>
          <w:p>
            <w:pPr>
              <w:jc w:val="center"/>
            </w:pPr>
            <w:r/>
            <w:r>
              <w:rPr>
                <w:rFonts w:ascii="宋体" w:hAnsi="宋体" w:eastAsia="宋体"/>
                <w:b w:val="0"/>
                <w:color w:val="000000"/>
                <w:sz w:val="20"/>
              </w:rPr>
              <w:t>269</w:t>
            </w:r>
          </w:p>
        </w:tc>
      </w:tr>
      <w:tr>
        <w:tc>
          <w:tcPr>
            <w:tcW w:type="dxa" w:w="3489"/>
          </w:tcPr>
          <w:p>
            <w:pPr>
              <w:jc w:val="center"/>
            </w:pPr>
            <w:r/>
            <w:r>
              <w:rPr>
                <w:rFonts w:ascii="宋体" w:hAnsi="宋体" w:eastAsia="宋体"/>
                <w:b w:val="0"/>
                <w:color w:val="000000"/>
                <w:sz w:val="20"/>
              </w:rPr>
              <w:t>总计</w:t>
            </w:r>
          </w:p>
        </w:tc>
        <w:tc>
          <w:tcPr>
            <w:tcW w:type="dxa" w:w="3489"/>
          </w:tcPr>
          <w:p>
            <w:pPr>
              <w:jc w:val="center"/>
            </w:pPr>
            <w:r/>
            <w:r>
              <w:rPr>
                <w:rFonts w:ascii="宋体" w:hAnsi="宋体" w:eastAsia="宋体"/>
                <w:b w:val="0"/>
                <w:color w:val="000000"/>
                <w:sz w:val="20"/>
              </w:rPr>
            </w:r>
          </w:p>
        </w:tc>
        <w:tc>
          <w:tcPr>
            <w:tcW w:type="dxa" w:w="3489"/>
          </w:tcPr>
          <w:p>
            <w:pPr>
              <w:jc w:val="center"/>
            </w:pPr>
            <w:r/>
            <w:r>
              <w:rPr>
                <w:rFonts w:ascii="宋体" w:hAnsi="宋体" w:eastAsia="宋体"/>
                <w:b w:val="0"/>
                <w:color w:val="000000"/>
                <w:sz w:val="20"/>
              </w:rPr>
              <w:t>53687</w:t>
            </w:r>
          </w:p>
        </w:tc>
      </w:tr>
    </w:tbl>
    <w:p>
      <w:pPr>
        <w:spacing w:line="360" w:lineRule="auto" w:after="0"/>
        <w:ind w:firstLine="420"/>
      </w:pPr>
      <w:r>
        <w:rPr>
          <w:rFonts w:ascii="宋体" w:hAnsi="宋体" w:eastAsia="宋体"/>
          <w:b w:val="0"/>
          <w:color w:val="000000"/>
          <w:sz w:val="24"/>
        </w:rPr>
        <w:t>（2）实验环境与评价指标</w:t>
      </w:r>
    </w:p>
    <w:p>
      <w:pPr>
        <w:spacing w:line="360" w:lineRule="auto" w:after="0"/>
        <w:ind w:firstLine="420"/>
      </w:pPr>
      <w:r>
        <w:rPr>
          <w:rFonts w:ascii="宋体" w:hAnsi="宋体" w:eastAsia="宋体"/>
          <w:b w:val="0"/>
          <w:color w:val="000000"/>
          <w:sz w:val="24"/>
        </w:rPr>
        <w:t>训练环境：Intel Core i7-12700KF，3.00GHz，32GB RAM，NVIDIA GeForce RTX 4060 Ti，PyTorch 2.4.1，CUDA 12.4。</w:t>
      </w:r>
    </w:p>
    <w:p>
      <w:pPr>
        <w:spacing w:line="360" w:lineRule="auto" w:after="0"/>
        <w:ind w:firstLine="420"/>
      </w:pPr>
      <w:r>
        <w:rPr>
          <w:rFonts w:ascii="宋体" w:hAnsi="宋体" w:eastAsia="宋体"/>
          <w:b w:val="0"/>
          <w:color w:val="000000"/>
          <w:sz w:val="24"/>
        </w:rPr>
        <w:t>在评价多模态遥感图像分类算法的分类性能时，常用的三个指标是总体精度（OA）、平均精度（AA）和卡帕系数（Kappa）。它们的计算公式如下：</w:t>
      </w:r>
    </w:p>
    <w:p>
      <w:pPr>
        <w:spacing w:line="360" w:lineRule="auto" w:after="0"/>
        <w:ind w:firstLine="420"/>
      </w:pPr>
      <w:r>
        <w:rPr>
          <w:rFonts w:ascii="宋体" w:hAnsi="宋体" w:eastAsia="宋体"/>
          <w:b w:val="0"/>
          <w:color w:val="000000"/>
          <w:sz w:val="24"/>
        </w:rPr>
        <w:t>总体精度（Overall Accuracy，OA）：</w:t>
      </w:r>
    </w:p>
    <w:p>
      <w:pPr>
        <w:spacing w:before="40" w:after="40"/>
        <w:ind w:firstLine="0"/>
        <w:jc w:val="center"/>
      </w:pPr>
      <w:r>
        <w:rPr>
          <w:rFonts w:ascii="Times New Roman" w:hAnsi="Times New Roman" w:eastAsia="宋体"/>
          <w:b w:val="0"/>
          <w:color w:val="000000"/>
          <w:sz w:val="24"/>
        </w:rPr>
        <w:t>OA = (∑_{i=1}^C TP_i) / N                                  (5-21)</w:t>
      </w:r>
    </w:p>
    <w:p>
      <w:pPr>
        <w:spacing w:line="360" w:lineRule="auto" w:after="0"/>
        <w:ind w:firstLine="420"/>
      </w:pPr>
      <w:r>
        <w:rPr>
          <w:rFonts w:ascii="宋体" w:hAnsi="宋体" w:eastAsia="宋体"/>
          <w:b w:val="0"/>
          <w:color w:val="000000"/>
          <w:sz w:val="24"/>
        </w:rPr>
        <w:t>其中，TP_i表示类别i的真正例数，C是类别总数，N是所有样本的总数。</w:t>
      </w:r>
    </w:p>
    <w:p>
      <w:pPr>
        <w:spacing w:line="360" w:lineRule="auto" w:after="0"/>
        <w:ind w:firstLine="420"/>
      </w:pPr>
      <w:r>
        <w:rPr>
          <w:rFonts w:ascii="宋体" w:hAnsi="宋体" w:eastAsia="宋体"/>
          <w:b w:val="0"/>
          <w:color w:val="000000"/>
          <w:sz w:val="24"/>
        </w:rPr>
        <w:t>平均精度（Average Accuracy，AA）：</w:t>
      </w:r>
    </w:p>
    <w:p>
      <w:pPr>
        <w:spacing w:before="40" w:after="40"/>
        <w:ind w:firstLine="0"/>
        <w:jc w:val="center"/>
      </w:pPr>
      <w:r>
        <w:rPr>
          <w:rFonts w:ascii="Times New Roman" w:hAnsi="Times New Roman" w:eastAsia="宋体"/>
          <w:b w:val="0"/>
          <w:color w:val="000000"/>
          <w:sz w:val="24"/>
        </w:rPr>
        <w:t>AA = (1 / C) ∑_{i=1}^C TP_i / (TP_i + FN_i)                                  (5-22)</w:t>
      </w:r>
    </w:p>
    <w:p>
      <w:pPr>
        <w:spacing w:line="360" w:lineRule="auto" w:after="0"/>
        <w:ind w:firstLine="420"/>
      </w:pPr>
      <w:r>
        <w:rPr>
          <w:rFonts w:ascii="宋体" w:hAnsi="宋体" w:eastAsia="宋体"/>
          <w:b w:val="0"/>
          <w:color w:val="000000"/>
          <w:sz w:val="24"/>
        </w:rPr>
        <w:t>其中，TP_i表示类别i的真正例数，FN_i表示类别i的假负例数。</w:t>
      </w:r>
    </w:p>
    <w:p>
      <w:pPr>
        <w:spacing w:line="360" w:lineRule="auto" w:after="0"/>
        <w:ind w:firstLine="420"/>
      </w:pPr>
      <w:r>
        <w:rPr>
          <w:rFonts w:ascii="宋体" w:hAnsi="宋体" w:eastAsia="宋体"/>
          <w:b w:val="0"/>
          <w:color w:val="000000"/>
          <w:sz w:val="24"/>
        </w:rPr>
        <w:t>Kappa系数（Kappa）：</w:t>
      </w:r>
    </w:p>
    <w:p>
      <w:pPr>
        <w:spacing w:before="40" w:after="40"/>
        <w:ind w:firstLine="0"/>
        <w:jc w:val="center"/>
      </w:pPr>
      <w:r>
        <w:rPr>
          <w:rFonts w:ascii="Times New Roman" w:hAnsi="Times New Roman" w:eastAsia="宋体"/>
          <w:b w:val="0"/>
          <w:color w:val="000000"/>
          <w:sz w:val="24"/>
        </w:rPr>
        <w:t>Kappa = (OA − PA) / (1 − PA)                                  (5-23)</w:t>
      </w:r>
    </w:p>
    <w:p>
      <w:pPr>
        <w:spacing w:line="360" w:lineRule="auto" w:after="0"/>
        <w:ind w:firstLine="420"/>
      </w:pPr>
      <w:r>
        <w:rPr>
          <w:rFonts w:ascii="宋体" w:hAnsi="宋体" w:eastAsia="宋体"/>
          <w:b w:val="0"/>
          <w:color w:val="000000"/>
          <w:sz w:val="24"/>
        </w:rPr>
        <w:t>其中，PA是按类别分布计算的预期总体准确率，计算公式为：</w:t>
      </w:r>
    </w:p>
    <w:p>
      <w:pPr>
        <w:spacing w:before="40" w:after="40"/>
        <w:ind w:firstLine="0"/>
        <w:jc w:val="center"/>
      </w:pPr>
      <w:r>
        <w:rPr>
          <w:rFonts w:ascii="Times New Roman" w:hAnsi="Times New Roman" w:eastAsia="宋体"/>
          <w:b w:val="0"/>
          <w:color w:val="000000"/>
          <w:sz w:val="24"/>
        </w:rPr>
        <w:t>PA = (1 / N²) ∑_{i=1}^C [ (∑_{j=1}^C TP_ij) / N ] · [ (∑_{j=1}^C TP_ji) / N ]                                  (5-24)</w:t>
      </w:r>
    </w:p>
    <w:p>
      <w:pPr>
        <w:spacing w:line="360" w:lineRule="auto" w:after="0"/>
        <w:ind w:firstLine="420"/>
      </w:pPr>
      <w:r>
        <w:rPr>
          <w:rFonts w:ascii="宋体" w:hAnsi="宋体" w:eastAsia="宋体"/>
          <w:b w:val="0"/>
          <w:color w:val="000000"/>
          <w:sz w:val="24"/>
        </w:rPr>
        <w:t>其中，TP_ij是混淆矩阵中类别i和j的交集。</w:t>
      </w:r>
    </w:p>
    <w:p>
      <w:pPr>
        <w:spacing w:line="360" w:lineRule="auto" w:after="0"/>
        <w:ind w:firstLine="420"/>
      </w:pPr>
      <w:r>
        <w:rPr>
          <w:rFonts w:ascii="宋体" w:hAnsi="宋体" w:eastAsia="宋体"/>
          <w:b w:val="0"/>
          <w:color w:val="000000"/>
          <w:sz w:val="24"/>
        </w:rPr>
        <w:t>（3）实验设置</w:t>
      </w:r>
    </w:p>
    <w:p>
      <w:pPr>
        <w:spacing w:line="360" w:lineRule="auto" w:after="0"/>
        <w:ind w:firstLine="420"/>
      </w:pPr>
      <w:r>
        <w:rPr>
          <w:rFonts w:ascii="宋体" w:hAnsi="宋体" w:eastAsia="宋体"/>
          <w:b w:val="0"/>
          <w:color w:val="000000"/>
          <w:sz w:val="24"/>
        </w:rPr>
        <w:t>在预训练阶段，选取数据集中的随机300个样本作为训练样本。为了更好地利用空间信息，空间样本的大小为27×27，由中心像素和相应的图像区域组成。图像分块大小为3。实验中均采用随机梯度下降的方法进行参数更新，批量大小设置为512，迭代次数设为300次。初始学习率在休斯顿、柏林、密西西比大学数据集上分别设置为0.001、0.0005、0.001。实验中采用了余弦退火策略来动态调整学习率。本课题使用的Transformer编码器包含了四个编码块（L=4），每个块包含一个8头自注意力层、两个归一化层和一个多层感知机层，编码块的标记维度为128。Transformer解码器包含了三个编码块（L=3），其设置与编码器相同。</w:t>
      </w:r>
    </w:p>
    <w:p>
      <w:pPr>
        <w:spacing w:line="360" w:lineRule="auto" w:after="0"/>
        <w:ind w:firstLine="420"/>
      </w:pPr>
      <w:r>
        <w:rPr>
          <w:rFonts w:ascii="宋体" w:hAnsi="宋体" w:eastAsia="宋体"/>
          <w:b w:val="0"/>
          <w:color w:val="000000"/>
          <w:sz w:val="24"/>
        </w:rPr>
        <w:t>在微调阶段，使用预训练阶段的Transformer编码器进行微调。此外，迭代次数设置为180次，初始学习率与预训练阶段相同，在迭代80次、140次之后学习率除以10。</w:t>
      </w:r>
    </w:p>
    <w:p>
      <w:pPr>
        <w:spacing w:before="80" w:after="40"/>
        <w:ind w:firstLine="0"/>
      </w:pPr>
      <w:r>
        <w:rPr>
          <w:rFonts w:ascii="黑体" w:hAnsi="黑体" w:eastAsia="黑体"/>
          <w:b/>
          <w:color w:val="000000"/>
          <w:sz w:val="26"/>
        </w:rPr>
        <w:t>5.1.4.2 相关实验结果</w:t>
      </w:r>
    </w:p>
    <w:p>
      <w:pPr>
        <w:spacing w:line="360" w:lineRule="auto" w:after="0"/>
        <w:ind w:firstLine="420"/>
      </w:pPr>
      <w:r>
        <w:rPr>
          <w:rFonts w:ascii="宋体" w:hAnsi="宋体" w:eastAsia="宋体"/>
          <w:b w:val="0"/>
          <w:color w:val="000000"/>
          <w:sz w:val="24"/>
        </w:rPr>
        <w:t>（1）对比实验</w:t>
      </w:r>
    </w:p>
    <w:p>
      <w:pPr>
        <w:spacing w:line="360" w:lineRule="auto" w:after="0"/>
        <w:ind w:firstLine="420"/>
      </w:pPr>
      <w:r>
        <w:rPr>
          <w:rFonts w:ascii="宋体" w:hAnsi="宋体" w:eastAsia="宋体"/>
          <w:b w:val="0"/>
          <w:color w:val="000000"/>
          <w:sz w:val="24"/>
        </w:rPr>
        <w:t>为了验证所提方法的效果，使用了多种现有的多模态遥感图像分类方法进行比较：</w:t>
      </w:r>
    </w:p>
    <w:p>
      <w:pPr>
        <w:spacing w:line="360" w:lineRule="auto" w:after="0"/>
        <w:ind w:firstLine="420"/>
      </w:pPr>
      <w:r>
        <w:rPr>
          <w:rFonts w:ascii="宋体" w:hAnsi="宋体" w:eastAsia="宋体"/>
          <w:b w:val="0"/>
          <w:color w:val="000000"/>
          <w:sz w:val="24"/>
        </w:rPr>
        <w:t>MFT（多模态融合Transformer）[86]采用了卷积层提取双模态的信息，通过在Transformer编码器中构造交叉注意力机制，对不同模态的互补信息进行融合。这种方法能够很好地利用Transformer的特性来增强融合，提升分类精度。</w:t>
      </w:r>
    </w:p>
    <w:p>
      <w:pPr>
        <w:spacing w:line="360" w:lineRule="auto" w:after="0"/>
        <w:ind w:firstLine="420"/>
      </w:pPr>
      <w:r>
        <w:rPr>
          <w:rFonts w:ascii="宋体" w:hAnsi="宋体" w:eastAsia="宋体"/>
          <w:b w:val="0"/>
          <w:color w:val="000000"/>
          <w:sz w:val="24"/>
        </w:rPr>
        <w:t>CCRNet（多模态卷积神经网络）[87]是一种通过双路卷积神经网络进行特征提取的多模态遥感分类模型，并在模态融合中引入了交叉重建机制，以加强融合，提升网络的分类性能。</w:t>
      </w:r>
    </w:p>
    <w:p>
      <w:pPr>
        <w:spacing w:line="360" w:lineRule="auto" w:after="0"/>
        <w:ind w:firstLine="420"/>
      </w:pPr>
      <w:r>
        <w:rPr>
          <w:rFonts w:ascii="宋体" w:hAnsi="宋体" w:eastAsia="宋体"/>
          <w:b w:val="0"/>
          <w:color w:val="000000"/>
          <w:sz w:val="24"/>
        </w:rPr>
        <w:t>ExViT（扩展视觉Transformer）[88]是一种采用双分支CNN-Transformer混合架构的分类模型。每个分支包含了可分类卷积模块和位置共享的编码层，用于特征提取。在特征融合阶段，通过跨模态注意力模块融合不同模态的信息。这种方法通过跨模态交互学习，学习到更具代表性的联合特征，从而提升分类精度。</w:t>
      </w:r>
    </w:p>
    <w:p>
      <w:pPr>
        <w:spacing w:line="360" w:lineRule="auto" w:after="0"/>
        <w:ind w:firstLine="420"/>
      </w:pPr>
      <w:r>
        <w:rPr>
          <w:rFonts w:ascii="宋体" w:hAnsi="宋体" w:eastAsia="宋体"/>
          <w:b w:val="0"/>
          <w:color w:val="000000"/>
          <w:sz w:val="24"/>
        </w:rPr>
        <w:t>NCGLF2（全局-局部特征融合网络）[89]结合了卷积神经网络和Transformer模型，旨在通过两者的混合来增强多模态遥感图像分类的能力。卷积神经网络用来提取高频特征，Transformer用于捕获低频特征。这种方法利用了Transformer的全局特征捕捉能力与卷积网络的局部特征提取能力，提升了分类性能。</w:t>
      </w:r>
    </w:p>
    <w:p>
      <w:pPr>
        <w:spacing w:line="360" w:lineRule="auto" w:after="0"/>
        <w:ind w:firstLine="420"/>
      </w:pPr>
      <w:r>
        <w:rPr>
          <w:rFonts w:ascii="宋体" w:hAnsi="宋体" w:eastAsia="宋体"/>
          <w:b w:val="0"/>
          <w:color w:val="000000"/>
          <w:sz w:val="24"/>
        </w:rPr>
        <w:t>FrIT（多模态分数傅里叶Transformer）[90]提出了一种用于提取全局语义特征和序列特征的分数傅立叶Transformer，加速Transformer进行有效且高效的进行学习，能够更有效地提取和融合空间-光谱信息，从而提高分类精度。</w:t>
      </w:r>
    </w:p>
    <w:p>
      <w:pPr>
        <w:spacing w:line="360" w:lineRule="auto" w:after="0"/>
        <w:ind w:firstLine="420"/>
      </w:pPr>
      <w:r>
        <w:rPr>
          <w:rFonts w:ascii="宋体" w:hAnsi="宋体" w:eastAsia="宋体"/>
          <w:b w:val="0"/>
          <w:color w:val="000000"/>
          <w:sz w:val="24"/>
        </w:rPr>
        <w:t>S2CrossMamba（多模态空谱-光谱交叉Mamba）[91]是一种采用了状态空间模型的双分支网络。利用了Mamba的低计算复杂度来提升效率，设计了交叉状态空间模型进一步提升空间和光谱特征提取能力，同时提高了模型的效率和分类精度。</w:t>
      </w:r>
    </w:p>
    <w:p>
      <w:pPr>
        <w:spacing w:line="360" w:lineRule="auto" w:after="0"/>
        <w:ind w:firstLine="420"/>
      </w:pPr>
      <w:r>
        <w:rPr>
          <w:rFonts w:ascii="宋体" w:hAnsi="宋体" w:eastAsia="宋体"/>
          <w:b w:val="0"/>
          <w:color w:val="000000"/>
          <w:sz w:val="24"/>
        </w:rPr>
        <w:t>（2）分类结果</w:t>
      </w:r>
    </w:p>
    <w:p>
      <w:pPr>
        <w:spacing w:line="360" w:lineRule="auto" w:after="0"/>
        <w:ind w:firstLine="420"/>
      </w:pPr>
      <w:r>
        <w:rPr>
          <w:rFonts w:ascii="宋体" w:hAnsi="宋体" w:eastAsia="宋体"/>
          <w:b w:val="0"/>
          <w:color w:val="000000"/>
          <w:sz w:val="24"/>
        </w:rPr>
        <w:t>表5-4、表5-5和表5-6分别给出了不同分类方法在三个公共数据集上的分类结果。所有实验均重复5次，以更好地评估模型性能。从表中可以看出，在所有样本中随机取300个训练样本的情况下，本课题所提出的SC-MSS-MTr方法在三个数据集上均取得了最优的分类性能，无论是总体精度（OA）、平均精度（AA）还是Kappa系数，都显著优于现有对比方法，体现出较强的鲁棒性与泛化能力。</w:t>
      </w:r>
    </w:p>
    <w:p>
      <w:pPr>
        <w:spacing w:after="120"/>
        <w:ind w:firstLine="0"/>
        <w:jc w:val="center"/>
      </w:pPr>
      <w:r>
        <w:rPr>
          <w:rFonts w:ascii="宋体" w:hAnsi="宋体" w:eastAsia="宋体"/>
          <w:b w:val="0"/>
          <w:color w:val="000000"/>
          <w:sz w:val="21"/>
        </w:rPr>
        <w:t>表5-4　不同方法在休斯顿数据集上的分类结果（平均值±标准差）</w:t>
      </w:r>
    </w:p>
    <w:tbl>
      <w:tblPr>
        <w:tblStyle w:val="af2"/>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c>
          <w:tcPr>
            <w:tcW w:type="dxa" w:w="1308"/>
          </w:tcPr>
          <w:p>
            <w:pPr>
              <w:jc w:val="center"/>
            </w:pPr>
            <w:r/>
            <w:r>
              <w:rPr>
                <w:rFonts w:ascii="宋体" w:hAnsi="宋体" w:eastAsia="宋体"/>
                <w:b/>
                <w:color w:val="000000"/>
                <w:sz w:val="20"/>
              </w:rPr>
              <w:t>类别</w:t>
            </w:r>
          </w:p>
        </w:tc>
        <w:tc>
          <w:tcPr>
            <w:tcW w:type="dxa" w:w="1308"/>
          </w:tcPr>
          <w:p>
            <w:pPr>
              <w:jc w:val="center"/>
            </w:pPr>
            <w:r/>
            <w:r>
              <w:rPr>
                <w:rFonts w:ascii="宋体" w:hAnsi="宋体" w:eastAsia="宋体"/>
                <w:b/>
                <w:color w:val="000000"/>
                <w:sz w:val="20"/>
              </w:rPr>
              <w:t>MFT</w:t>
            </w:r>
          </w:p>
        </w:tc>
        <w:tc>
          <w:tcPr>
            <w:tcW w:type="dxa" w:w="1308"/>
          </w:tcPr>
          <w:p>
            <w:pPr>
              <w:jc w:val="center"/>
            </w:pPr>
            <w:r/>
            <w:r>
              <w:rPr>
                <w:rFonts w:ascii="宋体" w:hAnsi="宋体" w:eastAsia="宋体"/>
                <w:b/>
                <w:color w:val="000000"/>
                <w:sz w:val="20"/>
              </w:rPr>
              <w:t>CCRNet</w:t>
            </w:r>
          </w:p>
        </w:tc>
        <w:tc>
          <w:tcPr>
            <w:tcW w:type="dxa" w:w="1308"/>
          </w:tcPr>
          <w:p>
            <w:pPr>
              <w:jc w:val="center"/>
            </w:pPr>
            <w:r/>
            <w:r>
              <w:rPr>
                <w:rFonts w:ascii="宋体" w:hAnsi="宋体" w:eastAsia="宋体"/>
                <w:b/>
                <w:color w:val="000000"/>
                <w:sz w:val="20"/>
              </w:rPr>
              <w:t>ExViT</w:t>
            </w:r>
          </w:p>
        </w:tc>
        <w:tc>
          <w:tcPr>
            <w:tcW w:type="dxa" w:w="1308"/>
          </w:tcPr>
          <w:p>
            <w:pPr>
              <w:jc w:val="center"/>
            </w:pPr>
            <w:r/>
            <w:r>
              <w:rPr>
                <w:rFonts w:ascii="宋体" w:hAnsi="宋体" w:eastAsia="宋体"/>
                <w:b/>
                <w:color w:val="000000"/>
                <w:sz w:val="20"/>
              </w:rPr>
              <w:t>NCGLF2</w:t>
            </w:r>
          </w:p>
        </w:tc>
        <w:tc>
          <w:tcPr>
            <w:tcW w:type="dxa" w:w="1308"/>
          </w:tcPr>
          <w:p>
            <w:pPr>
              <w:jc w:val="center"/>
            </w:pPr>
            <w:r/>
            <w:r>
              <w:rPr>
                <w:rFonts w:ascii="宋体" w:hAnsi="宋体" w:eastAsia="宋体"/>
                <w:b/>
                <w:color w:val="000000"/>
                <w:sz w:val="20"/>
              </w:rPr>
              <w:t>FrIT</w:t>
            </w:r>
          </w:p>
        </w:tc>
        <w:tc>
          <w:tcPr>
            <w:tcW w:type="dxa" w:w="1308"/>
          </w:tcPr>
          <w:p>
            <w:pPr>
              <w:jc w:val="center"/>
            </w:pPr>
            <w:r/>
            <w:r>
              <w:rPr>
                <w:rFonts w:ascii="宋体" w:hAnsi="宋体" w:eastAsia="宋体"/>
                <w:b/>
                <w:color w:val="000000"/>
                <w:sz w:val="20"/>
              </w:rPr>
              <w:t>S2CrossMamba</w:t>
            </w:r>
          </w:p>
        </w:tc>
        <w:tc>
          <w:tcPr>
            <w:tcW w:type="dxa" w:w="1308"/>
          </w:tcPr>
          <w:p>
            <w:pPr>
              <w:jc w:val="center"/>
            </w:pPr>
            <w:r/>
            <w:r>
              <w:rPr>
                <w:rFonts w:ascii="宋体" w:hAnsi="宋体" w:eastAsia="宋体"/>
                <w:b/>
                <w:color w:val="000000"/>
                <w:sz w:val="20"/>
              </w:rPr>
              <w:t>SC-MSS-MTr</w:t>
            </w:r>
          </w:p>
        </w:tc>
      </w:tr>
      <w:tr>
        <w:tc>
          <w:tcPr>
            <w:tcW w:type="dxa" w:w="1308"/>
          </w:tcPr>
          <w:p>
            <w:pPr>
              <w:jc w:val="center"/>
            </w:pPr>
            <w:r/>
            <w:r>
              <w:rPr>
                <w:rFonts w:ascii="宋体" w:hAnsi="宋体" w:eastAsia="宋体"/>
                <w:b w:val="0"/>
                <w:color w:val="000000"/>
                <w:sz w:val="20"/>
              </w:rPr>
              <w:t>健康草</w:t>
            </w:r>
          </w:p>
        </w:tc>
        <w:tc>
          <w:tcPr>
            <w:tcW w:type="dxa" w:w="1308"/>
          </w:tcPr>
          <w:p>
            <w:pPr>
              <w:jc w:val="center"/>
            </w:pPr>
            <w:r/>
            <w:r>
              <w:rPr>
                <w:rFonts w:ascii="宋体" w:hAnsi="宋体" w:eastAsia="宋体"/>
                <w:b w:val="0"/>
                <w:color w:val="000000"/>
                <w:sz w:val="20"/>
              </w:rPr>
              <w:t>91.70±4.63</w:t>
            </w:r>
          </w:p>
        </w:tc>
        <w:tc>
          <w:tcPr>
            <w:tcW w:type="dxa" w:w="1308"/>
          </w:tcPr>
          <w:p>
            <w:pPr>
              <w:jc w:val="center"/>
            </w:pPr>
            <w:r/>
            <w:r>
              <w:rPr>
                <w:rFonts w:ascii="宋体" w:hAnsi="宋体" w:eastAsia="宋体"/>
                <w:b w:val="0"/>
                <w:color w:val="000000"/>
                <w:sz w:val="20"/>
              </w:rPr>
              <w:t>86.27±0.54</w:t>
            </w:r>
          </w:p>
        </w:tc>
        <w:tc>
          <w:tcPr>
            <w:tcW w:type="dxa" w:w="1308"/>
          </w:tcPr>
          <w:p>
            <w:pPr>
              <w:jc w:val="center"/>
            </w:pPr>
            <w:r/>
            <w:r>
              <w:rPr>
                <w:rFonts w:ascii="宋体" w:hAnsi="宋体" w:eastAsia="宋体"/>
                <w:b w:val="0"/>
                <w:color w:val="000000"/>
                <w:sz w:val="20"/>
              </w:rPr>
              <w:t>85.80±3.90</w:t>
            </w:r>
          </w:p>
        </w:tc>
        <w:tc>
          <w:tcPr>
            <w:tcW w:type="dxa" w:w="1308"/>
          </w:tcPr>
          <w:p>
            <w:pPr>
              <w:jc w:val="center"/>
            </w:pPr>
            <w:r/>
            <w:r>
              <w:rPr>
                <w:rFonts w:ascii="宋体" w:hAnsi="宋体" w:eastAsia="宋体"/>
                <w:b w:val="0"/>
                <w:color w:val="000000"/>
                <w:sz w:val="20"/>
              </w:rPr>
              <w:t>89.24±6.93</w:t>
            </w:r>
          </w:p>
        </w:tc>
        <w:tc>
          <w:tcPr>
            <w:tcW w:type="dxa" w:w="1308"/>
          </w:tcPr>
          <w:p>
            <w:pPr>
              <w:jc w:val="center"/>
            </w:pPr>
            <w:r/>
            <w:r>
              <w:rPr>
                <w:rFonts w:ascii="宋体" w:hAnsi="宋体" w:eastAsia="宋体"/>
                <w:b w:val="0"/>
                <w:color w:val="000000"/>
                <w:sz w:val="20"/>
              </w:rPr>
              <w:t>89.69±5.79</w:t>
            </w:r>
          </w:p>
        </w:tc>
        <w:tc>
          <w:tcPr>
            <w:tcW w:type="dxa" w:w="1308"/>
          </w:tcPr>
          <w:p>
            <w:pPr>
              <w:jc w:val="center"/>
            </w:pPr>
            <w:r/>
            <w:r>
              <w:rPr>
                <w:rFonts w:ascii="宋体" w:hAnsi="宋体" w:eastAsia="宋体"/>
                <w:b w:val="0"/>
                <w:color w:val="000000"/>
                <w:sz w:val="20"/>
              </w:rPr>
              <w:t>82.98±4.36</w:t>
            </w:r>
          </w:p>
        </w:tc>
        <w:tc>
          <w:tcPr>
            <w:tcW w:type="dxa" w:w="1308"/>
          </w:tcPr>
          <w:p>
            <w:pPr>
              <w:jc w:val="center"/>
            </w:pPr>
            <w:r/>
            <w:r>
              <w:rPr>
                <w:rFonts w:ascii="宋体" w:hAnsi="宋体" w:eastAsia="宋体"/>
                <w:b w:val="0"/>
                <w:color w:val="000000"/>
                <w:sz w:val="20"/>
              </w:rPr>
              <w:t>94.78±3.01</w:t>
            </w:r>
          </w:p>
        </w:tc>
      </w:tr>
      <w:tr>
        <w:tc>
          <w:tcPr>
            <w:tcW w:type="dxa" w:w="1308"/>
          </w:tcPr>
          <w:p>
            <w:pPr>
              <w:jc w:val="center"/>
            </w:pPr>
            <w:r/>
            <w:r>
              <w:rPr>
                <w:rFonts w:ascii="宋体" w:hAnsi="宋体" w:eastAsia="宋体"/>
                <w:b w:val="0"/>
                <w:color w:val="000000"/>
                <w:sz w:val="20"/>
              </w:rPr>
              <w:t>被压草</w:t>
            </w:r>
          </w:p>
        </w:tc>
        <w:tc>
          <w:tcPr>
            <w:tcW w:type="dxa" w:w="1308"/>
          </w:tcPr>
          <w:p>
            <w:pPr>
              <w:jc w:val="center"/>
            </w:pPr>
            <w:r/>
            <w:r>
              <w:rPr>
                <w:rFonts w:ascii="宋体" w:hAnsi="宋体" w:eastAsia="宋体"/>
                <w:b w:val="0"/>
                <w:color w:val="000000"/>
                <w:sz w:val="20"/>
              </w:rPr>
              <w:t>89.18±4.70</w:t>
            </w:r>
          </w:p>
        </w:tc>
        <w:tc>
          <w:tcPr>
            <w:tcW w:type="dxa" w:w="1308"/>
          </w:tcPr>
          <w:p>
            <w:pPr>
              <w:jc w:val="center"/>
            </w:pPr>
            <w:r/>
            <w:r>
              <w:rPr>
                <w:rFonts w:ascii="宋体" w:hAnsi="宋体" w:eastAsia="宋体"/>
                <w:b w:val="0"/>
                <w:color w:val="000000"/>
                <w:sz w:val="20"/>
              </w:rPr>
              <w:t>94.88±0.68</w:t>
            </w:r>
          </w:p>
        </w:tc>
        <w:tc>
          <w:tcPr>
            <w:tcW w:type="dxa" w:w="1308"/>
          </w:tcPr>
          <w:p>
            <w:pPr>
              <w:jc w:val="center"/>
            </w:pPr>
            <w:r/>
            <w:r>
              <w:rPr>
                <w:rFonts w:ascii="宋体" w:hAnsi="宋体" w:eastAsia="宋体"/>
                <w:b w:val="0"/>
                <w:color w:val="000000"/>
                <w:sz w:val="20"/>
              </w:rPr>
              <w:t>94.55±1.98</w:t>
            </w:r>
          </w:p>
        </w:tc>
        <w:tc>
          <w:tcPr>
            <w:tcW w:type="dxa" w:w="1308"/>
          </w:tcPr>
          <w:p>
            <w:pPr>
              <w:jc w:val="center"/>
            </w:pPr>
            <w:r/>
            <w:r>
              <w:rPr>
                <w:rFonts w:ascii="宋体" w:hAnsi="宋体" w:eastAsia="宋体"/>
                <w:b w:val="0"/>
                <w:color w:val="000000"/>
                <w:sz w:val="20"/>
              </w:rPr>
              <w:t>96.34±2.62</w:t>
            </w:r>
          </w:p>
        </w:tc>
        <w:tc>
          <w:tcPr>
            <w:tcW w:type="dxa" w:w="1308"/>
          </w:tcPr>
          <w:p>
            <w:pPr>
              <w:jc w:val="center"/>
            </w:pPr>
            <w:r/>
            <w:r>
              <w:rPr>
                <w:rFonts w:ascii="宋体" w:hAnsi="宋体" w:eastAsia="宋体"/>
                <w:b w:val="0"/>
                <w:color w:val="000000"/>
                <w:sz w:val="20"/>
              </w:rPr>
              <w:t>96.62±2.21</w:t>
            </w:r>
          </w:p>
        </w:tc>
        <w:tc>
          <w:tcPr>
            <w:tcW w:type="dxa" w:w="1308"/>
          </w:tcPr>
          <w:p>
            <w:pPr>
              <w:jc w:val="center"/>
            </w:pPr>
            <w:r/>
            <w:r>
              <w:rPr>
                <w:rFonts w:ascii="宋体" w:hAnsi="宋体" w:eastAsia="宋体"/>
                <w:b w:val="0"/>
                <w:color w:val="000000"/>
                <w:sz w:val="20"/>
              </w:rPr>
              <w:t>77.97±8.97</w:t>
            </w:r>
          </w:p>
        </w:tc>
        <w:tc>
          <w:tcPr>
            <w:tcW w:type="dxa" w:w="1308"/>
          </w:tcPr>
          <w:p>
            <w:pPr>
              <w:jc w:val="center"/>
            </w:pPr>
            <w:r/>
            <w:r>
              <w:rPr>
                <w:rFonts w:ascii="宋体" w:hAnsi="宋体" w:eastAsia="宋体"/>
                <w:b w:val="0"/>
                <w:color w:val="000000"/>
                <w:sz w:val="20"/>
              </w:rPr>
              <w:t>90.71±6.41</w:t>
            </w:r>
          </w:p>
        </w:tc>
      </w:tr>
      <w:tr>
        <w:tc>
          <w:tcPr>
            <w:tcW w:type="dxa" w:w="1308"/>
          </w:tcPr>
          <w:p>
            <w:pPr>
              <w:jc w:val="center"/>
            </w:pPr>
            <w:r/>
            <w:r>
              <w:rPr>
                <w:rFonts w:ascii="宋体" w:hAnsi="宋体" w:eastAsia="宋体"/>
                <w:b w:val="0"/>
                <w:color w:val="000000"/>
                <w:sz w:val="20"/>
              </w:rPr>
              <w:t>人工草</w:t>
            </w:r>
          </w:p>
        </w:tc>
        <w:tc>
          <w:tcPr>
            <w:tcW w:type="dxa" w:w="1308"/>
          </w:tcPr>
          <w:p>
            <w:pPr>
              <w:jc w:val="center"/>
            </w:pPr>
            <w:r/>
            <w:r>
              <w:rPr>
                <w:rFonts w:ascii="宋体" w:hAnsi="宋体" w:eastAsia="宋体"/>
                <w:b w:val="0"/>
                <w:color w:val="000000"/>
                <w:sz w:val="20"/>
              </w:rPr>
              <w:t>98.99±0.61</w:t>
            </w:r>
          </w:p>
        </w:tc>
        <w:tc>
          <w:tcPr>
            <w:tcW w:type="dxa" w:w="1308"/>
          </w:tcPr>
          <w:p>
            <w:pPr>
              <w:jc w:val="center"/>
            </w:pPr>
            <w:r/>
            <w:r>
              <w:rPr>
                <w:rFonts w:ascii="宋体" w:hAnsi="宋体" w:eastAsia="宋体"/>
                <w:b w:val="0"/>
                <w:color w:val="000000"/>
                <w:sz w:val="20"/>
              </w:rPr>
              <w:t>93.66±2.44</w:t>
            </w:r>
          </w:p>
        </w:tc>
        <w:tc>
          <w:tcPr>
            <w:tcW w:type="dxa" w:w="1308"/>
          </w:tcPr>
          <w:p>
            <w:pPr>
              <w:jc w:val="center"/>
            </w:pPr>
            <w:r/>
            <w:r>
              <w:rPr>
                <w:rFonts w:ascii="宋体" w:hAnsi="宋体" w:eastAsia="宋体"/>
                <w:b w:val="0"/>
                <w:color w:val="000000"/>
                <w:sz w:val="20"/>
              </w:rPr>
              <w:t>96.18±2.59</w:t>
            </w:r>
          </w:p>
        </w:tc>
        <w:tc>
          <w:tcPr>
            <w:tcW w:type="dxa" w:w="1308"/>
          </w:tcPr>
          <w:p>
            <w:pPr>
              <w:jc w:val="center"/>
            </w:pPr>
            <w:r/>
            <w:r>
              <w:rPr>
                <w:rFonts w:ascii="宋体" w:hAnsi="宋体" w:eastAsia="宋体"/>
                <w:b w:val="0"/>
                <w:color w:val="000000"/>
                <w:sz w:val="20"/>
              </w:rPr>
              <w:t>98.66±1.06</w:t>
            </w:r>
          </w:p>
        </w:tc>
        <w:tc>
          <w:tcPr>
            <w:tcW w:type="dxa" w:w="1308"/>
          </w:tcPr>
          <w:p>
            <w:pPr>
              <w:jc w:val="center"/>
            </w:pPr>
            <w:r/>
            <w:r>
              <w:rPr>
                <w:rFonts w:ascii="宋体" w:hAnsi="宋体" w:eastAsia="宋体"/>
                <w:b w:val="0"/>
                <w:color w:val="000000"/>
                <w:sz w:val="20"/>
              </w:rPr>
              <w:t>99.70±0.32</w:t>
            </w:r>
          </w:p>
        </w:tc>
        <w:tc>
          <w:tcPr>
            <w:tcW w:type="dxa" w:w="1308"/>
          </w:tcPr>
          <w:p>
            <w:pPr>
              <w:jc w:val="center"/>
            </w:pPr>
            <w:r/>
            <w:r>
              <w:rPr>
                <w:rFonts w:ascii="宋体" w:hAnsi="宋体" w:eastAsia="宋体"/>
                <w:b w:val="0"/>
                <w:color w:val="000000"/>
                <w:sz w:val="20"/>
              </w:rPr>
              <w:t>97.43±1.95</w:t>
            </w:r>
          </w:p>
        </w:tc>
        <w:tc>
          <w:tcPr>
            <w:tcW w:type="dxa" w:w="1308"/>
          </w:tcPr>
          <w:p>
            <w:pPr>
              <w:jc w:val="center"/>
            </w:pPr>
            <w:r/>
            <w:r>
              <w:rPr>
                <w:rFonts w:ascii="宋体" w:hAnsi="宋体" w:eastAsia="宋体"/>
                <w:b w:val="0"/>
                <w:color w:val="000000"/>
                <w:sz w:val="20"/>
              </w:rPr>
              <w:t>94.05±4.88</w:t>
            </w:r>
          </w:p>
        </w:tc>
      </w:tr>
      <w:tr>
        <w:tc>
          <w:tcPr>
            <w:tcW w:type="dxa" w:w="1308"/>
          </w:tcPr>
          <w:p>
            <w:pPr>
              <w:jc w:val="center"/>
            </w:pPr>
            <w:r/>
            <w:r>
              <w:rPr>
                <w:rFonts w:ascii="宋体" w:hAnsi="宋体" w:eastAsia="宋体"/>
                <w:b w:val="0"/>
                <w:color w:val="000000"/>
                <w:sz w:val="20"/>
              </w:rPr>
              <w:t>树</w:t>
            </w:r>
          </w:p>
        </w:tc>
        <w:tc>
          <w:tcPr>
            <w:tcW w:type="dxa" w:w="1308"/>
          </w:tcPr>
          <w:p>
            <w:pPr>
              <w:jc w:val="center"/>
            </w:pPr>
            <w:r/>
            <w:r>
              <w:rPr>
                <w:rFonts w:ascii="宋体" w:hAnsi="宋体" w:eastAsia="宋体"/>
                <w:b w:val="0"/>
                <w:color w:val="000000"/>
                <w:sz w:val="20"/>
              </w:rPr>
              <w:t>95.52±1.95</w:t>
            </w:r>
          </w:p>
        </w:tc>
        <w:tc>
          <w:tcPr>
            <w:tcW w:type="dxa" w:w="1308"/>
          </w:tcPr>
          <w:p>
            <w:pPr>
              <w:jc w:val="center"/>
            </w:pPr>
            <w:r/>
            <w:r>
              <w:rPr>
                <w:rFonts w:ascii="宋体" w:hAnsi="宋体" w:eastAsia="宋体"/>
                <w:b w:val="0"/>
                <w:color w:val="000000"/>
                <w:sz w:val="20"/>
              </w:rPr>
              <w:t>91.79±0.84</w:t>
            </w:r>
          </w:p>
        </w:tc>
        <w:tc>
          <w:tcPr>
            <w:tcW w:type="dxa" w:w="1308"/>
          </w:tcPr>
          <w:p>
            <w:pPr>
              <w:jc w:val="center"/>
            </w:pPr>
            <w:r/>
            <w:r>
              <w:rPr>
                <w:rFonts w:ascii="宋体" w:hAnsi="宋体" w:eastAsia="宋体"/>
                <w:b w:val="0"/>
                <w:color w:val="000000"/>
                <w:sz w:val="20"/>
              </w:rPr>
              <w:t>88.63±2.62</w:t>
            </w:r>
          </w:p>
        </w:tc>
        <w:tc>
          <w:tcPr>
            <w:tcW w:type="dxa" w:w="1308"/>
          </w:tcPr>
          <w:p>
            <w:pPr>
              <w:jc w:val="center"/>
            </w:pPr>
            <w:r/>
            <w:r>
              <w:rPr>
                <w:rFonts w:ascii="宋体" w:hAnsi="宋体" w:eastAsia="宋体"/>
                <w:b w:val="0"/>
                <w:color w:val="000000"/>
                <w:sz w:val="20"/>
              </w:rPr>
              <w:t>93.27±3.82</w:t>
            </w:r>
          </w:p>
        </w:tc>
        <w:tc>
          <w:tcPr>
            <w:tcW w:type="dxa" w:w="1308"/>
          </w:tcPr>
          <w:p>
            <w:pPr>
              <w:jc w:val="center"/>
            </w:pPr>
            <w:r/>
            <w:r>
              <w:rPr>
                <w:rFonts w:ascii="宋体" w:hAnsi="宋体" w:eastAsia="宋体"/>
                <w:b w:val="0"/>
                <w:color w:val="000000"/>
                <w:sz w:val="20"/>
              </w:rPr>
              <w:t>92.47±3.39</w:t>
            </w:r>
          </w:p>
        </w:tc>
        <w:tc>
          <w:tcPr>
            <w:tcW w:type="dxa" w:w="1308"/>
          </w:tcPr>
          <w:p>
            <w:pPr>
              <w:jc w:val="center"/>
            </w:pPr>
            <w:r/>
            <w:r>
              <w:rPr>
                <w:rFonts w:ascii="宋体" w:hAnsi="宋体" w:eastAsia="宋体"/>
                <w:b w:val="0"/>
                <w:color w:val="000000"/>
                <w:sz w:val="20"/>
              </w:rPr>
              <w:t>91.20±2.77</w:t>
            </w:r>
          </w:p>
        </w:tc>
        <w:tc>
          <w:tcPr>
            <w:tcW w:type="dxa" w:w="1308"/>
          </w:tcPr>
          <w:p>
            <w:pPr>
              <w:jc w:val="center"/>
            </w:pPr>
            <w:r/>
            <w:r>
              <w:rPr>
                <w:rFonts w:ascii="宋体" w:hAnsi="宋体" w:eastAsia="宋体"/>
                <w:b w:val="0"/>
                <w:color w:val="000000"/>
                <w:sz w:val="20"/>
              </w:rPr>
              <w:t>95.60±2.53</w:t>
            </w:r>
          </w:p>
        </w:tc>
      </w:tr>
      <w:tr>
        <w:tc>
          <w:tcPr>
            <w:tcW w:type="dxa" w:w="1308"/>
          </w:tcPr>
          <w:p>
            <w:pPr>
              <w:jc w:val="center"/>
            </w:pPr>
            <w:r/>
            <w:r>
              <w:rPr>
                <w:rFonts w:ascii="宋体" w:hAnsi="宋体" w:eastAsia="宋体"/>
                <w:b w:val="0"/>
                <w:color w:val="000000"/>
                <w:sz w:val="20"/>
              </w:rPr>
              <w:t>土壤</w:t>
            </w:r>
          </w:p>
        </w:tc>
        <w:tc>
          <w:tcPr>
            <w:tcW w:type="dxa" w:w="1308"/>
          </w:tcPr>
          <w:p>
            <w:pPr>
              <w:jc w:val="center"/>
            </w:pPr>
            <w:r/>
            <w:r>
              <w:rPr>
                <w:rFonts w:ascii="宋体" w:hAnsi="宋体" w:eastAsia="宋体"/>
                <w:b w:val="0"/>
                <w:color w:val="000000"/>
                <w:sz w:val="20"/>
              </w:rPr>
              <w:t>97.35±2.11</w:t>
            </w:r>
          </w:p>
        </w:tc>
        <w:tc>
          <w:tcPr>
            <w:tcW w:type="dxa" w:w="1308"/>
          </w:tcPr>
          <w:p>
            <w:pPr>
              <w:jc w:val="center"/>
            </w:pPr>
            <w:r/>
            <w:r>
              <w:rPr>
                <w:rFonts w:ascii="宋体" w:hAnsi="宋体" w:eastAsia="宋体"/>
                <w:b w:val="0"/>
                <w:color w:val="000000"/>
                <w:sz w:val="20"/>
              </w:rPr>
              <w:t>95.04±0.48</w:t>
            </w:r>
          </w:p>
        </w:tc>
        <w:tc>
          <w:tcPr>
            <w:tcW w:type="dxa" w:w="1308"/>
          </w:tcPr>
          <w:p>
            <w:pPr>
              <w:jc w:val="center"/>
            </w:pPr>
            <w:r/>
            <w:r>
              <w:rPr>
                <w:rFonts w:ascii="宋体" w:hAnsi="宋体" w:eastAsia="宋体"/>
                <w:b w:val="0"/>
                <w:color w:val="000000"/>
                <w:sz w:val="20"/>
              </w:rPr>
              <w:t>99.44±0.45</w:t>
            </w:r>
          </w:p>
        </w:tc>
        <w:tc>
          <w:tcPr>
            <w:tcW w:type="dxa" w:w="1308"/>
          </w:tcPr>
          <w:p>
            <w:pPr>
              <w:jc w:val="center"/>
            </w:pPr>
            <w:r/>
            <w:r>
              <w:rPr>
                <w:rFonts w:ascii="宋体" w:hAnsi="宋体" w:eastAsia="宋体"/>
                <w:b w:val="0"/>
                <w:color w:val="000000"/>
                <w:sz w:val="20"/>
              </w:rPr>
              <w:t>100.00±0.00</w:t>
            </w:r>
          </w:p>
        </w:tc>
        <w:tc>
          <w:tcPr>
            <w:tcW w:type="dxa" w:w="1308"/>
          </w:tcPr>
          <w:p>
            <w:pPr>
              <w:jc w:val="center"/>
            </w:pPr>
            <w:r/>
            <w:r>
              <w:rPr>
                <w:rFonts w:ascii="宋体" w:hAnsi="宋体" w:eastAsia="宋体"/>
                <w:b w:val="0"/>
                <w:color w:val="000000"/>
                <w:sz w:val="20"/>
              </w:rPr>
              <w:t>93.26±8.60</w:t>
            </w:r>
          </w:p>
        </w:tc>
        <w:tc>
          <w:tcPr>
            <w:tcW w:type="dxa" w:w="1308"/>
          </w:tcPr>
          <w:p>
            <w:pPr>
              <w:jc w:val="center"/>
            </w:pPr>
            <w:r/>
            <w:r>
              <w:rPr>
                <w:rFonts w:ascii="宋体" w:hAnsi="宋体" w:eastAsia="宋体"/>
                <w:b w:val="0"/>
                <w:color w:val="000000"/>
                <w:sz w:val="20"/>
              </w:rPr>
              <w:t>97.02±1.14</w:t>
            </w:r>
          </w:p>
        </w:tc>
        <w:tc>
          <w:tcPr>
            <w:tcW w:type="dxa" w:w="1308"/>
          </w:tcPr>
          <w:p>
            <w:pPr>
              <w:jc w:val="center"/>
            </w:pPr>
            <w:r/>
            <w:r>
              <w:rPr>
                <w:rFonts w:ascii="宋体" w:hAnsi="宋体" w:eastAsia="宋体"/>
                <w:b w:val="0"/>
                <w:color w:val="000000"/>
                <w:sz w:val="20"/>
              </w:rPr>
              <w:t>99.68±0.64</w:t>
            </w:r>
          </w:p>
        </w:tc>
      </w:tr>
      <w:tr>
        <w:tc>
          <w:tcPr>
            <w:tcW w:type="dxa" w:w="1308"/>
          </w:tcPr>
          <w:p>
            <w:pPr>
              <w:jc w:val="center"/>
            </w:pPr>
            <w:r/>
            <w:r>
              <w:rPr>
                <w:rFonts w:ascii="宋体" w:hAnsi="宋体" w:eastAsia="宋体"/>
                <w:b w:val="0"/>
                <w:color w:val="000000"/>
                <w:sz w:val="20"/>
              </w:rPr>
              <w:t>水</w:t>
            </w:r>
          </w:p>
        </w:tc>
        <w:tc>
          <w:tcPr>
            <w:tcW w:type="dxa" w:w="1308"/>
          </w:tcPr>
          <w:p>
            <w:pPr>
              <w:jc w:val="center"/>
            </w:pPr>
            <w:r/>
            <w:r>
              <w:rPr>
                <w:rFonts w:ascii="宋体" w:hAnsi="宋体" w:eastAsia="宋体"/>
                <w:b w:val="0"/>
                <w:color w:val="000000"/>
                <w:sz w:val="20"/>
              </w:rPr>
              <w:t>60.68±6.45</w:t>
            </w:r>
          </w:p>
        </w:tc>
        <w:tc>
          <w:tcPr>
            <w:tcW w:type="dxa" w:w="1308"/>
          </w:tcPr>
          <w:p>
            <w:pPr>
              <w:jc w:val="center"/>
            </w:pPr>
            <w:r/>
            <w:r>
              <w:rPr>
                <w:rFonts w:ascii="宋体" w:hAnsi="宋体" w:eastAsia="宋体"/>
                <w:b w:val="0"/>
                <w:color w:val="000000"/>
                <w:sz w:val="20"/>
              </w:rPr>
              <w:t>0.99±0.50</w:t>
            </w:r>
          </w:p>
        </w:tc>
        <w:tc>
          <w:tcPr>
            <w:tcW w:type="dxa" w:w="1308"/>
          </w:tcPr>
          <w:p>
            <w:pPr>
              <w:jc w:val="center"/>
            </w:pPr>
            <w:r/>
            <w:r>
              <w:rPr>
                <w:rFonts w:ascii="宋体" w:hAnsi="宋体" w:eastAsia="宋体"/>
                <w:b w:val="0"/>
                <w:color w:val="000000"/>
                <w:sz w:val="20"/>
              </w:rPr>
              <w:t>81.66±7.59</w:t>
            </w:r>
          </w:p>
        </w:tc>
        <w:tc>
          <w:tcPr>
            <w:tcW w:type="dxa" w:w="1308"/>
          </w:tcPr>
          <w:p>
            <w:pPr>
              <w:jc w:val="center"/>
            </w:pPr>
            <w:r/>
            <w:r>
              <w:rPr>
                <w:rFonts w:ascii="宋体" w:hAnsi="宋体" w:eastAsia="宋体"/>
                <w:b w:val="0"/>
                <w:color w:val="000000"/>
                <w:sz w:val="20"/>
              </w:rPr>
              <w:t>88.32±5.82</w:t>
            </w:r>
          </w:p>
        </w:tc>
        <w:tc>
          <w:tcPr>
            <w:tcW w:type="dxa" w:w="1308"/>
          </w:tcPr>
          <w:p>
            <w:pPr>
              <w:jc w:val="center"/>
            </w:pPr>
            <w:r/>
            <w:r>
              <w:rPr>
                <w:rFonts w:ascii="宋体" w:hAnsi="宋体" w:eastAsia="宋体"/>
                <w:b w:val="0"/>
                <w:color w:val="000000"/>
                <w:sz w:val="20"/>
              </w:rPr>
              <w:t>60.40±9.08</w:t>
            </w:r>
          </w:p>
        </w:tc>
        <w:tc>
          <w:tcPr>
            <w:tcW w:type="dxa" w:w="1308"/>
          </w:tcPr>
          <w:p>
            <w:pPr>
              <w:jc w:val="center"/>
            </w:pPr>
            <w:r/>
            <w:r>
              <w:rPr>
                <w:rFonts w:ascii="宋体" w:hAnsi="宋体" w:eastAsia="宋体"/>
                <w:b w:val="0"/>
                <w:color w:val="000000"/>
                <w:sz w:val="20"/>
              </w:rPr>
              <w:t>68.19±13.14</w:t>
            </w:r>
          </w:p>
        </w:tc>
        <w:tc>
          <w:tcPr>
            <w:tcW w:type="dxa" w:w="1308"/>
          </w:tcPr>
          <w:p>
            <w:pPr>
              <w:jc w:val="center"/>
            </w:pPr>
            <w:r/>
            <w:r>
              <w:rPr>
                <w:rFonts w:ascii="宋体" w:hAnsi="宋体" w:eastAsia="宋体"/>
                <w:b w:val="0"/>
                <w:color w:val="000000"/>
                <w:sz w:val="20"/>
              </w:rPr>
              <w:t>75.79±9.82</w:t>
            </w:r>
          </w:p>
        </w:tc>
      </w:tr>
      <w:tr>
        <w:tc>
          <w:tcPr>
            <w:tcW w:type="dxa" w:w="1308"/>
          </w:tcPr>
          <w:p>
            <w:pPr>
              <w:jc w:val="center"/>
            </w:pPr>
            <w:r/>
            <w:r>
              <w:rPr>
                <w:rFonts w:ascii="宋体" w:hAnsi="宋体" w:eastAsia="宋体"/>
                <w:b w:val="0"/>
                <w:color w:val="000000"/>
                <w:sz w:val="20"/>
              </w:rPr>
              <w:t>居民区</w:t>
            </w:r>
          </w:p>
        </w:tc>
        <w:tc>
          <w:tcPr>
            <w:tcW w:type="dxa" w:w="1308"/>
          </w:tcPr>
          <w:p>
            <w:pPr>
              <w:jc w:val="center"/>
            </w:pPr>
            <w:r/>
            <w:r>
              <w:rPr>
                <w:rFonts w:ascii="宋体" w:hAnsi="宋体" w:eastAsia="宋体"/>
                <w:b w:val="0"/>
                <w:color w:val="000000"/>
                <w:sz w:val="20"/>
              </w:rPr>
              <w:t>88.79±2.13</w:t>
            </w:r>
          </w:p>
        </w:tc>
        <w:tc>
          <w:tcPr>
            <w:tcW w:type="dxa" w:w="1308"/>
          </w:tcPr>
          <w:p>
            <w:pPr>
              <w:jc w:val="center"/>
            </w:pPr>
            <w:r/>
            <w:r>
              <w:rPr>
                <w:rFonts w:ascii="宋体" w:hAnsi="宋体" w:eastAsia="宋体"/>
                <w:b w:val="0"/>
                <w:color w:val="000000"/>
                <w:sz w:val="20"/>
              </w:rPr>
              <w:t>83.72±1.10</w:t>
            </w:r>
          </w:p>
        </w:tc>
        <w:tc>
          <w:tcPr>
            <w:tcW w:type="dxa" w:w="1308"/>
          </w:tcPr>
          <w:p>
            <w:pPr>
              <w:jc w:val="center"/>
            </w:pPr>
            <w:r/>
            <w:r>
              <w:rPr>
                <w:rFonts w:ascii="宋体" w:hAnsi="宋体" w:eastAsia="宋体"/>
                <w:b w:val="0"/>
                <w:color w:val="000000"/>
                <w:sz w:val="20"/>
              </w:rPr>
              <w:t>90.18±5.56</w:t>
            </w:r>
          </w:p>
        </w:tc>
        <w:tc>
          <w:tcPr>
            <w:tcW w:type="dxa" w:w="1308"/>
          </w:tcPr>
          <w:p>
            <w:pPr>
              <w:jc w:val="center"/>
            </w:pPr>
            <w:r/>
            <w:r>
              <w:rPr>
                <w:rFonts w:ascii="宋体" w:hAnsi="宋体" w:eastAsia="宋体"/>
                <w:b w:val="0"/>
                <w:color w:val="000000"/>
                <w:sz w:val="20"/>
              </w:rPr>
              <w:t>79.50±5.73</w:t>
            </w:r>
          </w:p>
        </w:tc>
        <w:tc>
          <w:tcPr>
            <w:tcW w:type="dxa" w:w="1308"/>
          </w:tcPr>
          <w:p>
            <w:pPr>
              <w:jc w:val="center"/>
            </w:pPr>
            <w:r/>
            <w:r>
              <w:rPr>
                <w:rFonts w:ascii="宋体" w:hAnsi="宋体" w:eastAsia="宋体"/>
                <w:b w:val="0"/>
                <w:color w:val="000000"/>
                <w:sz w:val="20"/>
              </w:rPr>
              <w:t>88.87±2.41</w:t>
            </w:r>
          </w:p>
        </w:tc>
        <w:tc>
          <w:tcPr>
            <w:tcW w:type="dxa" w:w="1308"/>
          </w:tcPr>
          <w:p>
            <w:pPr>
              <w:jc w:val="center"/>
            </w:pPr>
            <w:r/>
            <w:r>
              <w:rPr>
                <w:rFonts w:ascii="宋体" w:hAnsi="宋体" w:eastAsia="宋体"/>
                <w:b w:val="0"/>
                <w:color w:val="000000"/>
                <w:sz w:val="20"/>
              </w:rPr>
              <w:t>78.58±13.60</w:t>
            </w:r>
          </w:p>
        </w:tc>
        <w:tc>
          <w:tcPr>
            <w:tcW w:type="dxa" w:w="1308"/>
          </w:tcPr>
          <w:p>
            <w:pPr>
              <w:jc w:val="center"/>
            </w:pPr>
            <w:r/>
            <w:r>
              <w:rPr>
                <w:rFonts w:ascii="宋体" w:hAnsi="宋体" w:eastAsia="宋体"/>
                <w:b w:val="0"/>
                <w:color w:val="000000"/>
                <w:sz w:val="20"/>
              </w:rPr>
              <w:t>90.36±6.62</w:t>
            </w:r>
          </w:p>
        </w:tc>
      </w:tr>
      <w:tr>
        <w:tc>
          <w:tcPr>
            <w:tcW w:type="dxa" w:w="1308"/>
          </w:tcPr>
          <w:p>
            <w:pPr>
              <w:jc w:val="center"/>
            </w:pPr>
            <w:r/>
            <w:r>
              <w:rPr>
                <w:rFonts w:ascii="宋体" w:hAnsi="宋体" w:eastAsia="宋体"/>
                <w:b w:val="0"/>
                <w:color w:val="000000"/>
                <w:sz w:val="20"/>
              </w:rPr>
              <w:t>商业区</w:t>
            </w:r>
          </w:p>
        </w:tc>
        <w:tc>
          <w:tcPr>
            <w:tcW w:type="dxa" w:w="1308"/>
          </w:tcPr>
          <w:p>
            <w:pPr>
              <w:jc w:val="center"/>
            </w:pPr>
            <w:r/>
            <w:r>
              <w:rPr>
                <w:rFonts w:ascii="宋体" w:hAnsi="宋体" w:eastAsia="宋体"/>
                <w:b w:val="0"/>
                <w:color w:val="000000"/>
                <w:sz w:val="20"/>
              </w:rPr>
              <w:t>91.94±2.70</w:t>
            </w:r>
          </w:p>
        </w:tc>
        <w:tc>
          <w:tcPr>
            <w:tcW w:type="dxa" w:w="1308"/>
          </w:tcPr>
          <w:p>
            <w:pPr>
              <w:jc w:val="center"/>
            </w:pPr>
            <w:r/>
            <w:r>
              <w:rPr>
                <w:rFonts w:ascii="宋体" w:hAnsi="宋体" w:eastAsia="宋体"/>
                <w:b w:val="0"/>
                <w:color w:val="000000"/>
                <w:sz w:val="20"/>
              </w:rPr>
              <w:t>81.97±0.03</w:t>
            </w:r>
          </w:p>
        </w:tc>
        <w:tc>
          <w:tcPr>
            <w:tcW w:type="dxa" w:w="1308"/>
          </w:tcPr>
          <w:p>
            <w:pPr>
              <w:jc w:val="center"/>
            </w:pPr>
            <w:r/>
            <w:r>
              <w:rPr>
                <w:rFonts w:ascii="宋体" w:hAnsi="宋体" w:eastAsia="宋体"/>
                <w:b w:val="0"/>
                <w:color w:val="000000"/>
                <w:sz w:val="20"/>
              </w:rPr>
              <w:t>89.89±6.80</w:t>
            </w:r>
          </w:p>
        </w:tc>
        <w:tc>
          <w:tcPr>
            <w:tcW w:type="dxa" w:w="1308"/>
          </w:tcPr>
          <w:p>
            <w:pPr>
              <w:jc w:val="center"/>
            </w:pPr>
            <w:r/>
            <w:r>
              <w:rPr>
                <w:rFonts w:ascii="宋体" w:hAnsi="宋体" w:eastAsia="宋体"/>
                <w:b w:val="0"/>
                <w:color w:val="000000"/>
                <w:sz w:val="20"/>
              </w:rPr>
              <w:t>79.72±5.40</w:t>
            </w:r>
          </w:p>
        </w:tc>
        <w:tc>
          <w:tcPr>
            <w:tcW w:type="dxa" w:w="1308"/>
          </w:tcPr>
          <w:p>
            <w:pPr>
              <w:jc w:val="center"/>
            </w:pPr>
            <w:r/>
            <w:r>
              <w:rPr>
                <w:rFonts w:ascii="宋体" w:hAnsi="宋体" w:eastAsia="宋体"/>
                <w:b w:val="0"/>
                <w:color w:val="000000"/>
                <w:sz w:val="20"/>
              </w:rPr>
              <w:t>87.68±2.23</w:t>
            </w:r>
          </w:p>
        </w:tc>
        <w:tc>
          <w:tcPr>
            <w:tcW w:type="dxa" w:w="1308"/>
          </w:tcPr>
          <w:p>
            <w:pPr>
              <w:jc w:val="center"/>
            </w:pPr>
            <w:r/>
            <w:r>
              <w:rPr>
                <w:rFonts w:ascii="宋体" w:hAnsi="宋体" w:eastAsia="宋体"/>
                <w:b w:val="0"/>
                <w:color w:val="000000"/>
                <w:sz w:val="20"/>
              </w:rPr>
              <w:t>84.13±7.75</w:t>
            </w:r>
          </w:p>
        </w:tc>
        <w:tc>
          <w:tcPr>
            <w:tcW w:type="dxa" w:w="1308"/>
          </w:tcPr>
          <w:p>
            <w:pPr>
              <w:jc w:val="center"/>
            </w:pPr>
            <w:r/>
            <w:r>
              <w:rPr>
                <w:rFonts w:ascii="宋体" w:hAnsi="宋体" w:eastAsia="宋体"/>
                <w:b w:val="0"/>
                <w:color w:val="000000"/>
                <w:sz w:val="20"/>
              </w:rPr>
              <w:t>86.74±8.68</w:t>
            </w:r>
          </w:p>
        </w:tc>
      </w:tr>
      <w:tr>
        <w:tc>
          <w:tcPr>
            <w:tcW w:type="dxa" w:w="1308"/>
          </w:tcPr>
          <w:p>
            <w:pPr>
              <w:jc w:val="center"/>
            </w:pPr>
            <w:r/>
            <w:r>
              <w:rPr>
                <w:rFonts w:ascii="宋体" w:hAnsi="宋体" w:eastAsia="宋体"/>
                <w:b w:val="0"/>
                <w:color w:val="000000"/>
                <w:sz w:val="20"/>
              </w:rPr>
              <w:t>公路</w:t>
            </w:r>
          </w:p>
        </w:tc>
        <w:tc>
          <w:tcPr>
            <w:tcW w:type="dxa" w:w="1308"/>
          </w:tcPr>
          <w:p>
            <w:pPr>
              <w:jc w:val="center"/>
            </w:pPr>
            <w:r/>
            <w:r>
              <w:rPr>
                <w:rFonts w:ascii="宋体" w:hAnsi="宋体" w:eastAsia="宋体"/>
                <w:b w:val="0"/>
                <w:color w:val="000000"/>
                <w:sz w:val="20"/>
              </w:rPr>
              <w:t>72.39±1.55</w:t>
            </w:r>
          </w:p>
        </w:tc>
        <w:tc>
          <w:tcPr>
            <w:tcW w:type="dxa" w:w="1308"/>
          </w:tcPr>
          <w:p>
            <w:pPr>
              <w:jc w:val="center"/>
            </w:pPr>
            <w:r/>
            <w:r>
              <w:rPr>
                <w:rFonts w:ascii="宋体" w:hAnsi="宋体" w:eastAsia="宋体"/>
                <w:b w:val="0"/>
                <w:color w:val="000000"/>
                <w:sz w:val="20"/>
              </w:rPr>
              <w:t>61.27±2.63</w:t>
            </w:r>
          </w:p>
        </w:tc>
        <w:tc>
          <w:tcPr>
            <w:tcW w:type="dxa" w:w="1308"/>
          </w:tcPr>
          <w:p>
            <w:pPr>
              <w:jc w:val="center"/>
            </w:pPr>
            <w:r/>
            <w:r>
              <w:rPr>
                <w:rFonts w:ascii="宋体" w:hAnsi="宋体" w:eastAsia="宋体"/>
                <w:b w:val="0"/>
                <w:color w:val="000000"/>
                <w:sz w:val="20"/>
              </w:rPr>
              <w:t>83.59±5.61</w:t>
            </w:r>
          </w:p>
        </w:tc>
        <w:tc>
          <w:tcPr>
            <w:tcW w:type="dxa" w:w="1308"/>
          </w:tcPr>
          <w:p>
            <w:pPr>
              <w:jc w:val="center"/>
            </w:pPr>
            <w:r/>
            <w:r>
              <w:rPr>
                <w:rFonts w:ascii="宋体" w:hAnsi="宋体" w:eastAsia="宋体"/>
                <w:b w:val="0"/>
                <w:color w:val="000000"/>
                <w:sz w:val="20"/>
              </w:rPr>
              <w:t>66.09±10.13</w:t>
            </w:r>
          </w:p>
        </w:tc>
        <w:tc>
          <w:tcPr>
            <w:tcW w:type="dxa" w:w="1308"/>
          </w:tcPr>
          <w:p>
            <w:pPr>
              <w:jc w:val="center"/>
            </w:pPr>
            <w:r/>
            <w:r>
              <w:rPr>
                <w:rFonts w:ascii="宋体" w:hAnsi="宋体" w:eastAsia="宋体"/>
                <w:b w:val="0"/>
                <w:color w:val="000000"/>
                <w:sz w:val="20"/>
              </w:rPr>
              <w:t>83.55±5.11</w:t>
            </w:r>
          </w:p>
        </w:tc>
        <w:tc>
          <w:tcPr>
            <w:tcW w:type="dxa" w:w="1308"/>
          </w:tcPr>
          <w:p>
            <w:pPr>
              <w:jc w:val="center"/>
            </w:pPr>
            <w:r/>
            <w:r>
              <w:rPr>
                <w:rFonts w:ascii="宋体" w:hAnsi="宋体" w:eastAsia="宋体"/>
                <w:b w:val="0"/>
                <w:color w:val="000000"/>
                <w:sz w:val="20"/>
              </w:rPr>
              <w:t>76.48±10.01</w:t>
            </w:r>
          </w:p>
        </w:tc>
        <w:tc>
          <w:tcPr>
            <w:tcW w:type="dxa" w:w="1308"/>
          </w:tcPr>
          <w:p>
            <w:pPr>
              <w:jc w:val="center"/>
            </w:pPr>
            <w:r/>
            <w:r>
              <w:rPr>
                <w:rFonts w:ascii="宋体" w:hAnsi="宋体" w:eastAsia="宋体"/>
                <w:b w:val="0"/>
                <w:color w:val="000000"/>
                <w:sz w:val="20"/>
              </w:rPr>
              <w:t>87.98±6.89</w:t>
            </w:r>
          </w:p>
        </w:tc>
      </w:tr>
      <w:tr>
        <w:tc>
          <w:tcPr>
            <w:tcW w:type="dxa" w:w="1308"/>
          </w:tcPr>
          <w:p>
            <w:pPr>
              <w:jc w:val="center"/>
            </w:pPr>
            <w:r/>
            <w:r>
              <w:rPr>
                <w:rFonts w:ascii="宋体" w:hAnsi="宋体" w:eastAsia="宋体"/>
                <w:b w:val="0"/>
                <w:color w:val="000000"/>
                <w:sz w:val="20"/>
              </w:rPr>
              <w:t>高速路</w:t>
            </w:r>
          </w:p>
        </w:tc>
        <w:tc>
          <w:tcPr>
            <w:tcW w:type="dxa" w:w="1308"/>
          </w:tcPr>
          <w:p>
            <w:pPr>
              <w:jc w:val="center"/>
            </w:pPr>
            <w:r/>
            <w:r>
              <w:rPr>
                <w:rFonts w:ascii="宋体" w:hAnsi="宋体" w:eastAsia="宋体"/>
                <w:b w:val="0"/>
                <w:color w:val="000000"/>
                <w:sz w:val="20"/>
              </w:rPr>
              <w:t>87.93±3.53</w:t>
            </w:r>
          </w:p>
        </w:tc>
        <w:tc>
          <w:tcPr>
            <w:tcW w:type="dxa" w:w="1308"/>
          </w:tcPr>
          <w:p>
            <w:pPr>
              <w:jc w:val="center"/>
            </w:pPr>
            <w:r/>
            <w:r>
              <w:rPr>
                <w:rFonts w:ascii="宋体" w:hAnsi="宋体" w:eastAsia="宋体"/>
                <w:b w:val="0"/>
                <w:color w:val="000000"/>
                <w:sz w:val="20"/>
              </w:rPr>
              <w:t>90.76±4.35</w:t>
            </w:r>
          </w:p>
        </w:tc>
        <w:tc>
          <w:tcPr>
            <w:tcW w:type="dxa" w:w="1308"/>
          </w:tcPr>
          <w:p>
            <w:pPr>
              <w:jc w:val="center"/>
            </w:pPr>
            <w:r/>
            <w:r>
              <w:rPr>
                <w:rFonts w:ascii="宋体" w:hAnsi="宋体" w:eastAsia="宋体"/>
                <w:b w:val="0"/>
                <w:color w:val="000000"/>
                <w:sz w:val="20"/>
              </w:rPr>
              <w:t>77.01±15.62</w:t>
            </w:r>
          </w:p>
        </w:tc>
        <w:tc>
          <w:tcPr>
            <w:tcW w:type="dxa" w:w="1308"/>
          </w:tcPr>
          <w:p>
            <w:pPr>
              <w:jc w:val="center"/>
            </w:pPr>
            <w:r/>
            <w:r>
              <w:rPr>
                <w:rFonts w:ascii="宋体" w:hAnsi="宋体" w:eastAsia="宋体"/>
                <w:b w:val="0"/>
                <w:color w:val="000000"/>
                <w:sz w:val="20"/>
              </w:rPr>
              <w:t>87.82±11.45</w:t>
            </w:r>
          </w:p>
        </w:tc>
        <w:tc>
          <w:tcPr>
            <w:tcW w:type="dxa" w:w="1308"/>
          </w:tcPr>
          <w:p>
            <w:pPr>
              <w:jc w:val="center"/>
            </w:pPr>
            <w:r/>
            <w:r>
              <w:rPr>
                <w:rFonts w:ascii="宋体" w:hAnsi="宋体" w:eastAsia="宋体"/>
                <w:b w:val="0"/>
                <w:color w:val="000000"/>
                <w:sz w:val="20"/>
              </w:rPr>
              <w:t>66.35±8.81</w:t>
            </w:r>
          </w:p>
        </w:tc>
        <w:tc>
          <w:tcPr>
            <w:tcW w:type="dxa" w:w="1308"/>
          </w:tcPr>
          <w:p>
            <w:pPr>
              <w:jc w:val="center"/>
            </w:pPr>
            <w:r/>
            <w:r>
              <w:rPr>
                <w:rFonts w:ascii="宋体" w:hAnsi="宋体" w:eastAsia="宋体"/>
                <w:b w:val="0"/>
                <w:color w:val="000000"/>
                <w:sz w:val="20"/>
              </w:rPr>
              <w:t>78.60±4.46</w:t>
            </w:r>
          </w:p>
        </w:tc>
        <w:tc>
          <w:tcPr>
            <w:tcW w:type="dxa" w:w="1308"/>
          </w:tcPr>
          <w:p>
            <w:pPr>
              <w:jc w:val="center"/>
            </w:pPr>
            <w:r/>
            <w:r>
              <w:rPr>
                <w:rFonts w:ascii="宋体" w:hAnsi="宋体" w:eastAsia="宋体"/>
                <w:b w:val="0"/>
                <w:color w:val="000000"/>
                <w:sz w:val="20"/>
              </w:rPr>
              <w:t>92.22±9.34</w:t>
            </w:r>
          </w:p>
        </w:tc>
      </w:tr>
      <w:tr>
        <w:tc>
          <w:tcPr>
            <w:tcW w:type="dxa" w:w="1308"/>
          </w:tcPr>
          <w:p>
            <w:pPr>
              <w:jc w:val="center"/>
            </w:pPr>
            <w:r/>
            <w:r>
              <w:rPr>
                <w:rFonts w:ascii="宋体" w:hAnsi="宋体" w:eastAsia="宋体"/>
                <w:b w:val="0"/>
                <w:color w:val="000000"/>
                <w:sz w:val="20"/>
              </w:rPr>
              <w:t>铁路</w:t>
            </w:r>
          </w:p>
        </w:tc>
        <w:tc>
          <w:tcPr>
            <w:tcW w:type="dxa" w:w="1308"/>
          </w:tcPr>
          <w:p>
            <w:pPr>
              <w:jc w:val="center"/>
            </w:pPr>
            <w:r/>
            <w:r>
              <w:rPr>
                <w:rFonts w:ascii="宋体" w:hAnsi="宋体" w:eastAsia="宋体"/>
                <w:b w:val="0"/>
                <w:color w:val="000000"/>
                <w:sz w:val="20"/>
              </w:rPr>
              <w:t>85.76±1.59</w:t>
            </w:r>
          </w:p>
        </w:tc>
        <w:tc>
          <w:tcPr>
            <w:tcW w:type="dxa" w:w="1308"/>
          </w:tcPr>
          <w:p>
            <w:pPr>
              <w:jc w:val="center"/>
            </w:pPr>
            <w:r/>
            <w:r>
              <w:rPr>
                <w:rFonts w:ascii="宋体" w:hAnsi="宋体" w:eastAsia="宋体"/>
                <w:b w:val="0"/>
                <w:color w:val="000000"/>
                <w:sz w:val="20"/>
              </w:rPr>
              <w:t>82.62±0.58</w:t>
            </w:r>
          </w:p>
        </w:tc>
        <w:tc>
          <w:tcPr>
            <w:tcW w:type="dxa" w:w="1308"/>
          </w:tcPr>
          <w:p>
            <w:pPr>
              <w:jc w:val="center"/>
            </w:pPr>
            <w:r/>
            <w:r>
              <w:rPr>
                <w:rFonts w:ascii="宋体" w:hAnsi="宋体" w:eastAsia="宋体"/>
                <w:b w:val="0"/>
                <w:color w:val="000000"/>
                <w:sz w:val="20"/>
              </w:rPr>
              <w:t>89.82±3.02</w:t>
            </w:r>
          </w:p>
        </w:tc>
        <w:tc>
          <w:tcPr>
            <w:tcW w:type="dxa" w:w="1308"/>
          </w:tcPr>
          <w:p>
            <w:pPr>
              <w:jc w:val="center"/>
            </w:pPr>
            <w:r/>
            <w:r>
              <w:rPr>
                <w:rFonts w:ascii="宋体" w:hAnsi="宋体" w:eastAsia="宋体"/>
                <w:b w:val="0"/>
                <w:color w:val="000000"/>
                <w:sz w:val="20"/>
              </w:rPr>
              <w:t>87.30±6.70</w:t>
            </w:r>
          </w:p>
        </w:tc>
        <w:tc>
          <w:tcPr>
            <w:tcW w:type="dxa" w:w="1308"/>
          </w:tcPr>
          <w:p>
            <w:pPr>
              <w:jc w:val="center"/>
            </w:pPr>
            <w:r/>
            <w:r>
              <w:rPr>
                <w:rFonts w:ascii="宋体" w:hAnsi="宋体" w:eastAsia="宋体"/>
                <w:b w:val="0"/>
                <w:color w:val="000000"/>
                <w:sz w:val="20"/>
              </w:rPr>
              <w:t>89.95±1.75</w:t>
            </w:r>
          </w:p>
        </w:tc>
        <w:tc>
          <w:tcPr>
            <w:tcW w:type="dxa" w:w="1308"/>
          </w:tcPr>
          <w:p>
            <w:pPr>
              <w:jc w:val="center"/>
            </w:pPr>
            <w:r/>
            <w:r>
              <w:rPr>
                <w:rFonts w:ascii="宋体" w:hAnsi="宋体" w:eastAsia="宋体"/>
                <w:b w:val="0"/>
                <w:color w:val="000000"/>
                <w:sz w:val="20"/>
              </w:rPr>
              <w:t>94.83±2.93</w:t>
            </w:r>
          </w:p>
        </w:tc>
        <w:tc>
          <w:tcPr>
            <w:tcW w:type="dxa" w:w="1308"/>
          </w:tcPr>
          <w:p>
            <w:pPr>
              <w:jc w:val="center"/>
            </w:pPr>
            <w:r/>
            <w:r>
              <w:rPr>
                <w:rFonts w:ascii="宋体" w:hAnsi="宋体" w:eastAsia="宋体"/>
                <w:b w:val="0"/>
                <w:color w:val="000000"/>
                <w:sz w:val="20"/>
              </w:rPr>
              <w:t>91.23±4.75</w:t>
            </w:r>
          </w:p>
        </w:tc>
      </w:tr>
      <w:tr>
        <w:tc>
          <w:tcPr>
            <w:tcW w:type="dxa" w:w="1308"/>
          </w:tcPr>
          <w:p>
            <w:pPr>
              <w:jc w:val="center"/>
            </w:pPr>
            <w:r/>
            <w:r>
              <w:rPr>
                <w:rFonts w:ascii="宋体" w:hAnsi="宋体" w:eastAsia="宋体"/>
                <w:b w:val="0"/>
                <w:color w:val="000000"/>
                <w:sz w:val="20"/>
              </w:rPr>
              <w:t>停车场-1</w:t>
            </w:r>
          </w:p>
        </w:tc>
        <w:tc>
          <w:tcPr>
            <w:tcW w:type="dxa" w:w="1308"/>
          </w:tcPr>
          <w:p>
            <w:pPr>
              <w:jc w:val="center"/>
            </w:pPr>
            <w:r/>
            <w:r>
              <w:rPr>
                <w:rFonts w:ascii="宋体" w:hAnsi="宋体" w:eastAsia="宋体"/>
                <w:b w:val="0"/>
                <w:color w:val="000000"/>
                <w:sz w:val="20"/>
              </w:rPr>
              <w:t>86.77±4.08</w:t>
            </w:r>
          </w:p>
        </w:tc>
        <w:tc>
          <w:tcPr>
            <w:tcW w:type="dxa" w:w="1308"/>
          </w:tcPr>
          <w:p>
            <w:pPr>
              <w:jc w:val="center"/>
            </w:pPr>
            <w:r/>
            <w:r>
              <w:rPr>
                <w:rFonts w:ascii="宋体" w:hAnsi="宋体" w:eastAsia="宋体"/>
                <w:b w:val="0"/>
                <w:color w:val="000000"/>
                <w:sz w:val="20"/>
              </w:rPr>
              <w:t>73.82±0.79</w:t>
            </w:r>
          </w:p>
        </w:tc>
        <w:tc>
          <w:tcPr>
            <w:tcW w:type="dxa" w:w="1308"/>
          </w:tcPr>
          <w:p>
            <w:pPr>
              <w:jc w:val="center"/>
            </w:pPr>
            <w:r/>
            <w:r>
              <w:rPr>
                <w:rFonts w:ascii="宋体" w:hAnsi="宋体" w:eastAsia="宋体"/>
                <w:b w:val="0"/>
                <w:color w:val="000000"/>
                <w:sz w:val="20"/>
              </w:rPr>
              <w:t>88.06±11.46</w:t>
            </w:r>
          </w:p>
        </w:tc>
        <w:tc>
          <w:tcPr>
            <w:tcW w:type="dxa" w:w="1308"/>
          </w:tcPr>
          <w:p>
            <w:pPr>
              <w:jc w:val="center"/>
            </w:pPr>
            <w:r/>
            <w:r>
              <w:rPr>
                <w:rFonts w:ascii="宋体" w:hAnsi="宋体" w:eastAsia="宋体"/>
                <w:b w:val="0"/>
                <w:color w:val="000000"/>
                <w:sz w:val="20"/>
              </w:rPr>
              <w:t>78.04±10.81</w:t>
            </w:r>
          </w:p>
        </w:tc>
        <w:tc>
          <w:tcPr>
            <w:tcW w:type="dxa" w:w="1308"/>
          </w:tcPr>
          <w:p>
            <w:pPr>
              <w:jc w:val="center"/>
            </w:pPr>
            <w:r/>
            <w:r>
              <w:rPr>
                <w:rFonts w:ascii="宋体" w:hAnsi="宋体" w:eastAsia="宋体"/>
                <w:b w:val="0"/>
                <w:color w:val="000000"/>
                <w:sz w:val="20"/>
              </w:rPr>
              <w:t>77.42±5.74</w:t>
            </w:r>
          </w:p>
        </w:tc>
        <w:tc>
          <w:tcPr>
            <w:tcW w:type="dxa" w:w="1308"/>
          </w:tcPr>
          <w:p>
            <w:pPr>
              <w:jc w:val="center"/>
            </w:pPr>
            <w:r/>
            <w:r>
              <w:rPr>
                <w:rFonts w:ascii="宋体" w:hAnsi="宋体" w:eastAsia="宋体"/>
                <w:b w:val="0"/>
                <w:color w:val="000000"/>
                <w:sz w:val="20"/>
              </w:rPr>
              <w:t>78.27±3.58</w:t>
            </w:r>
          </w:p>
        </w:tc>
        <w:tc>
          <w:tcPr>
            <w:tcW w:type="dxa" w:w="1308"/>
          </w:tcPr>
          <w:p>
            <w:pPr>
              <w:jc w:val="center"/>
            </w:pPr>
            <w:r/>
            <w:r>
              <w:rPr>
                <w:rFonts w:ascii="宋体" w:hAnsi="宋体" w:eastAsia="宋体"/>
                <w:b w:val="0"/>
                <w:color w:val="000000"/>
                <w:sz w:val="20"/>
              </w:rPr>
              <w:t>88.42±4.31</w:t>
            </w:r>
          </w:p>
        </w:tc>
      </w:tr>
      <w:tr>
        <w:tc>
          <w:tcPr>
            <w:tcW w:type="dxa" w:w="1308"/>
          </w:tcPr>
          <w:p>
            <w:pPr>
              <w:jc w:val="center"/>
            </w:pPr>
            <w:r/>
            <w:r>
              <w:rPr>
                <w:rFonts w:ascii="宋体" w:hAnsi="宋体" w:eastAsia="宋体"/>
                <w:b w:val="0"/>
                <w:color w:val="000000"/>
                <w:sz w:val="20"/>
              </w:rPr>
              <w:t>停车场-2</w:t>
            </w:r>
          </w:p>
        </w:tc>
        <w:tc>
          <w:tcPr>
            <w:tcW w:type="dxa" w:w="1308"/>
          </w:tcPr>
          <w:p>
            <w:pPr>
              <w:jc w:val="center"/>
            </w:pPr>
            <w:r/>
            <w:r>
              <w:rPr>
                <w:rFonts w:ascii="宋体" w:hAnsi="宋体" w:eastAsia="宋体"/>
                <w:b w:val="0"/>
                <w:color w:val="000000"/>
                <w:sz w:val="20"/>
              </w:rPr>
              <w:t>65.60±10.72</w:t>
            </w:r>
          </w:p>
        </w:tc>
        <w:tc>
          <w:tcPr>
            <w:tcW w:type="dxa" w:w="1308"/>
          </w:tcPr>
          <w:p>
            <w:pPr>
              <w:jc w:val="center"/>
            </w:pPr>
            <w:r/>
            <w:r>
              <w:rPr>
                <w:rFonts w:ascii="宋体" w:hAnsi="宋体" w:eastAsia="宋体"/>
                <w:b w:val="0"/>
                <w:color w:val="000000"/>
                <w:sz w:val="20"/>
              </w:rPr>
              <w:t>35.79±5.05</w:t>
            </w:r>
          </w:p>
        </w:tc>
        <w:tc>
          <w:tcPr>
            <w:tcW w:type="dxa" w:w="1308"/>
          </w:tcPr>
          <w:p>
            <w:pPr>
              <w:jc w:val="center"/>
            </w:pPr>
            <w:r/>
            <w:r>
              <w:rPr>
                <w:rFonts w:ascii="宋体" w:hAnsi="宋体" w:eastAsia="宋体"/>
                <w:b w:val="0"/>
                <w:color w:val="000000"/>
                <w:sz w:val="20"/>
              </w:rPr>
              <w:t>68.41±9.02</w:t>
            </w:r>
          </w:p>
        </w:tc>
        <w:tc>
          <w:tcPr>
            <w:tcW w:type="dxa" w:w="1308"/>
          </w:tcPr>
          <w:p>
            <w:pPr>
              <w:jc w:val="center"/>
            </w:pPr>
            <w:r/>
            <w:r>
              <w:rPr>
                <w:rFonts w:ascii="宋体" w:hAnsi="宋体" w:eastAsia="宋体"/>
                <w:b w:val="0"/>
                <w:color w:val="000000"/>
                <w:sz w:val="20"/>
              </w:rPr>
              <w:t>77.61±7.08</w:t>
            </w:r>
          </w:p>
        </w:tc>
        <w:tc>
          <w:tcPr>
            <w:tcW w:type="dxa" w:w="1308"/>
          </w:tcPr>
          <w:p>
            <w:pPr>
              <w:jc w:val="center"/>
            </w:pPr>
            <w:r/>
            <w:r>
              <w:rPr>
                <w:rFonts w:ascii="宋体" w:hAnsi="宋体" w:eastAsia="宋体"/>
                <w:b w:val="0"/>
                <w:color w:val="000000"/>
                <w:sz w:val="20"/>
              </w:rPr>
              <w:t>73.31±9.78</w:t>
            </w:r>
          </w:p>
        </w:tc>
        <w:tc>
          <w:tcPr>
            <w:tcW w:type="dxa" w:w="1308"/>
          </w:tcPr>
          <w:p>
            <w:pPr>
              <w:jc w:val="center"/>
            </w:pPr>
            <w:r/>
            <w:r>
              <w:rPr>
                <w:rFonts w:ascii="宋体" w:hAnsi="宋体" w:eastAsia="宋体"/>
                <w:b w:val="0"/>
                <w:color w:val="000000"/>
                <w:sz w:val="20"/>
              </w:rPr>
              <w:t>68.23±4.40</w:t>
            </w:r>
          </w:p>
        </w:tc>
        <w:tc>
          <w:tcPr>
            <w:tcW w:type="dxa" w:w="1308"/>
          </w:tcPr>
          <w:p>
            <w:pPr>
              <w:jc w:val="center"/>
            </w:pPr>
            <w:r/>
            <w:r>
              <w:rPr>
                <w:rFonts w:ascii="宋体" w:hAnsi="宋体" w:eastAsia="宋体"/>
                <w:b w:val="0"/>
                <w:color w:val="000000"/>
                <w:sz w:val="20"/>
              </w:rPr>
              <w:t>82.28±11.59</w:t>
            </w:r>
          </w:p>
        </w:tc>
      </w:tr>
      <w:tr>
        <w:tc>
          <w:tcPr>
            <w:tcW w:type="dxa" w:w="1308"/>
          </w:tcPr>
          <w:p>
            <w:pPr>
              <w:jc w:val="center"/>
            </w:pPr>
            <w:r/>
            <w:r>
              <w:rPr>
                <w:rFonts w:ascii="宋体" w:hAnsi="宋体" w:eastAsia="宋体"/>
                <w:b w:val="0"/>
                <w:color w:val="000000"/>
                <w:sz w:val="20"/>
              </w:rPr>
              <w:t>网球场</w:t>
            </w:r>
          </w:p>
        </w:tc>
        <w:tc>
          <w:tcPr>
            <w:tcW w:type="dxa" w:w="1308"/>
          </w:tcPr>
          <w:p>
            <w:pPr>
              <w:jc w:val="center"/>
            </w:pPr>
            <w:r/>
            <w:r>
              <w:rPr>
                <w:rFonts w:ascii="宋体" w:hAnsi="宋体" w:eastAsia="宋体"/>
                <w:b w:val="0"/>
                <w:color w:val="000000"/>
                <w:sz w:val="20"/>
              </w:rPr>
              <w:t>96.44±2.52</w:t>
            </w:r>
          </w:p>
        </w:tc>
        <w:tc>
          <w:tcPr>
            <w:tcW w:type="dxa" w:w="1308"/>
          </w:tcPr>
          <w:p>
            <w:pPr>
              <w:jc w:val="center"/>
            </w:pPr>
            <w:r/>
            <w:r>
              <w:rPr>
                <w:rFonts w:ascii="宋体" w:hAnsi="宋体" w:eastAsia="宋体"/>
                <w:b w:val="0"/>
                <w:color w:val="000000"/>
                <w:sz w:val="20"/>
              </w:rPr>
              <w:t>74.93±10.81</w:t>
            </w:r>
          </w:p>
        </w:tc>
        <w:tc>
          <w:tcPr>
            <w:tcW w:type="dxa" w:w="1308"/>
          </w:tcPr>
          <w:p>
            <w:pPr>
              <w:jc w:val="center"/>
            </w:pPr>
            <w:r/>
            <w:r>
              <w:rPr>
                <w:rFonts w:ascii="宋体" w:hAnsi="宋体" w:eastAsia="宋体"/>
                <w:b w:val="0"/>
                <w:color w:val="000000"/>
                <w:sz w:val="20"/>
              </w:rPr>
              <w:t>99.71±0.47</w:t>
            </w:r>
          </w:p>
        </w:tc>
        <w:tc>
          <w:tcPr>
            <w:tcW w:type="dxa" w:w="1308"/>
          </w:tcPr>
          <w:p>
            <w:pPr>
              <w:jc w:val="center"/>
            </w:pPr>
            <w:r/>
            <w:r>
              <w:rPr>
                <w:rFonts w:ascii="宋体" w:hAnsi="宋体" w:eastAsia="宋体"/>
                <w:b w:val="0"/>
                <w:color w:val="000000"/>
                <w:sz w:val="20"/>
              </w:rPr>
              <w:t>100.00±0.00</w:t>
            </w:r>
          </w:p>
        </w:tc>
        <w:tc>
          <w:tcPr>
            <w:tcW w:type="dxa" w:w="1308"/>
          </w:tcPr>
          <w:p>
            <w:pPr>
              <w:jc w:val="center"/>
            </w:pPr>
            <w:r/>
            <w:r>
              <w:rPr>
                <w:rFonts w:ascii="宋体" w:hAnsi="宋体" w:eastAsia="宋体"/>
                <w:b w:val="0"/>
                <w:color w:val="000000"/>
                <w:sz w:val="20"/>
              </w:rPr>
              <w:t>99.19±0.11</w:t>
            </w:r>
          </w:p>
        </w:tc>
        <w:tc>
          <w:tcPr>
            <w:tcW w:type="dxa" w:w="1308"/>
          </w:tcPr>
          <w:p>
            <w:pPr>
              <w:jc w:val="center"/>
            </w:pPr>
            <w:r/>
            <w:r>
              <w:rPr>
                <w:rFonts w:ascii="宋体" w:hAnsi="宋体" w:eastAsia="宋体"/>
                <w:b w:val="0"/>
                <w:color w:val="000000"/>
                <w:sz w:val="20"/>
              </w:rPr>
              <w:t>91.88±4.20</w:t>
            </w:r>
          </w:p>
        </w:tc>
        <w:tc>
          <w:tcPr>
            <w:tcW w:type="dxa" w:w="1308"/>
          </w:tcPr>
          <w:p>
            <w:pPr>
              <w:jc w:val="center"/>
            </w:pPr>
            <w:r/>
            <w:r>
              <w:rPr>
                <w:rFonts w:ascii="宋体" w:hAnsi="宋体" w:eastAsia="宋体"/>
                <w:b w:val="0"/>
                <w:color w:val="000000"/>
                <w:sz w:val="20"/>
              </w:rPr>
              <w:t>100.00±0.00</w:t>
            </w:r>
          </w:p>
        </w:tc>
      </w:tr>
      <w:tr>
        <w:tc>
          <w:tcPr>
            <w:tcW w:type="dxa" w:w="1308"/>
          </w:tcPr>
          <w:p>
            <w:pPr>
              <w:jc w:val="center"/>
            </w:pPr>
            <w:r/>
            <w:r>
              <w:rPr>
                <w:rFonts w:ascii="宋体" w:hAnsi="宋体" w:eastAsia="宋体"/>
                <w:b w:val="0"/>
                <w:color w:val="000000"/>
                <w:sz w:val="20"/>
              </w:rPr>
              <w:t>跑道</w:t>
            </w:r>
          </w:p>
        </w:tc>
        <w:tc>
          <w:tcPr>
            <w:tcW w:type="dxa" w:w="1308"/>
          </w:tcPr>
          <w:p>
            <w:pPr>
              <w:jc w:val="center"/>
            </w:pPr>
            <w:r/>
            <w:r>
              <w:rPr>
                <w:rFonts w:ascii="宋体" w:hAnsi="宋体" w:eastAsia="宋体"/>
                <w:b w:val="0"/>
                <w:color w:val="000000"/>
                <w:sz w:val="20"/>
              </w:rPr>
              <w:t>99.59±0.58</w:t>
            </w:r>
          </w:p>
        </w:tc>
        <w:tc>
          <w:tcPr>
            <w:tcW w:type="dxa" w:w="1308"/>
          </w:tcPr>
          <w:p>
            <w:pPr>
              <w:jc w:val="center"/>
            </w:pPr>
            <w:r/>
            <w:r>
              <w:rPr>
                <w:rFonts w:ascii="宋体" w:hAnsi="宋体" w:eastAsia="宋体"/>
                <w:b w:val="0"/>
                <w:color w:val="000000"/>
                <w:sz w:val="20"/>
              </w:rPr>
              <w:t>95.35±3.43</w:t>
            </w:r>
          </w:p>
        </w:tc>
        <w:tc>
          <w:tcPr>
            <w:tcW w:type="dxa" w:w="1308"/>
          </w:tcPr>
          <w:p>
            <w:pPr>
              <w:jc w:val="center"/>
            </w:pPr>
            <w:r/>
            <w:r>
              <w:rPr>
                <w:rFonts w:ascii="宋体" w:hAnsi="宋体" w:eastAsia="宋体"/>
                <w:b w:val="0"/>
                <w:color w:val="000000"/>
                <w:sz w:val="20"/>
              </w:rPr>
              <w:t>95.97±5.82</w:t>
            </w:r>
          </w:p>
        </w:tc>
        <w:tc>
          <w:tcPr>
            <w:tcW w:type="dxa" w:w="1308"/>
          </w:tcPr>
          <w:p>
            <w:pPr>
              <w:jc w:val="center"/>
            </w:pPr>
            <w:r/>
            <w:r>
              <w:rPr>
                <w:rFonts w:ascii="宋体" w:hAnsi="宋体" w:eastAsia="宋体"/>
                <w:b w:val="0"/>
                <w:color w:val="000000"/>
                <w:sz w:val="20"/>
              </w:rPr>
              <w:t>99.72±0.55</w:t>
            </w:r>
          </w:p>
        </w:tc>
        <w:tc>
          <w:tcPr>
            <w:tcW w:type="dxa" w:w="1308"/>
          </w:tcPr>
          <w:p>
            <w:pPr>
              <w:jc w:val="center"/>
            </w:pPr>
            <w:r/>
            <w:r>
              <w:rPr>
                <w:rFonts w:ascii="宋体" w:hAnsi="宋体" w:eastAsia="宋体"/>
                <w:b w:val="0"/>
                <w:color w:val="000000"/>
                <w:sz w:val="20"/>
              </w:rPr>
              <w:t>98.89±1.46</w:t>
            </w:r>
          </w:p>
        </w:tc>
        <w:tc>
          <w:tcPr>
            <w:tcW w:type="dxa" w:w="1308"/>
          </w:tcPr>
          <w:p>
            <w:pPr>
              <w:jc w:val="center"/>
            </w:pPr>
            <w:r/>
            <w:r>
              <w:rPr>
                <w:rFonts w:ascii="宋体" w:hAnsi="宋体" w:eastAsia="宋体"/>
                <w:b w:val="0"/>
                <w:color w:val="000000"/>
                <w:sz w:val="20"/>
              </w:rPr>
              <w:t>98.46±1.23</w:t>
            </w:r>
          </w:p>
        </w:tc>
        <w:tc>
          <w:tcPr>
            <w:tcW w:type="dxa" w:w="1308"/>
          </w:tcPr>
          <w:p>
            <w:pPr>
              <w:jc w:val="center"/>
            </w:pPr>
            <w:r/>
            <w:r>
              <w:rPr>
                <w:rFonts w:ascii="宋体" w:hAnsi="宋体" w:eastAsia="宋体"/>
                <w:b w:val="0"/>
                <w:color w:val="000000"/>
                <w:sz w:val="20"/>
              </w:rPr>
              <w:t>98.71±1.73</w:t>
            </w:r>
          </w:p>
        </w:tc>
      </w:tr>
      <w:tr>
        <w:tc>
          <w:tcPr>
            <w:tcW w:type="dxa" w:w="1308"/>
          </w:tcPr>
          <w:p>
            <w:pPr>
              <w:jc w:val="center"/>
            </w:pPr>
            <w:r/>
            <w:r>
              <w:rPr>
                <w:rFonts w:ascii="宋体" w:hAnsi="宋体" w:eastAsia="宋体"/>
                <w:b w:val="0"/>
                <w:color w:val="000000"/>
                <w:sz w:val="20"/>
              </w:rPr>
              <w:t>OA (%)</w:t>
            </w:r>
          </w:p>
        </w:tc>
        <w:tc>
          <w:tcPr>
            <w:tcW w:type="dxa" w:w="1308"/>
          </w:tcPr>
          <w:p>
            <w:pPr>
              <w:jc w:val="center"/>
            </w:pPr>
            <w:r/>
            <w:r>
              <w:rPr>
                <w:rFonts w:ascii="宋体" w:hAnsi="宋体" w:eastAsia="宋体"/>
                <w:b w:val="0"/>
                <w:color w:val="000000"/>
                <w:sz w:val="20"/>
              </w:rPr>
              <w:t>88.62±0.54</w:t>
            </w:r>
          </w:p>
        </w:tc>
        <w:tc>
          <w:tcPr>
            <w:tcW w:type="dxa" w:w="1308"/>
          </w:tcPr>
          <w:p>
            <w:pPr>
              <w:jc w:val="center"/>
            </w:pPr>
            <w:r/>
            <w:r>
              <w:rPr>
                <w:rFonts w:ascii="宋体" w:hAnsi="宋体" w:eastAsia="宋体"/>
                <w:b w:val="0"/>
                <w:color w:val="000000"/>
                <w:sz w:val="20"/>
              </w:rPr>
              <w:t>81.54±0.53</w:t>
            </w:r>
          </w:p>
        </w:tc>
        <w:tc>
          <w:tcPr>
            <w:tcW w:type="dxa" w:w="1308"/>
          </w:tcPr>
          <w:p>
            <w:pPr>
              <w:jc w:val="center"/>
            </w:pPr>
            <w:r/>
            <w:r>
              <w:rPr>
                <w:rFonts w:ascii="宋体" w:hAnsi="宋体" w:eastAsia="宋体"/>
                <w:b w:val="0"/>
                <w:color w:val="000000"/>
                <w:sz w:val="20"/>
              </w:rPr>
              <w:t>88.88±0.71</w:t>
            </w:r>
          </w:p>
        </w:tc>
        <w:tc>
          <w:tcPr>
            <w:tcW w:type="dxa" w:w="1308"/>
          </w:tcPr>
          <w:p>
            <w:pPr>
              <w:jc w:val="center"/>
            </w:pPr>
            <w:r/>
            <w:r>
              <w:rPr>
                <w:rFonts w:ascii="宋体" w:hAnsi="宋体" w:eastAsia="宋体"/>
                <w:b w:val="0"/>
                <w:color w:val="000000"/>
                <w:sz w:val="20"/>
              </w:rPr>
              <w:t>87.16±1.27</w:t>
            </w:r>
          </w:p>
        </w:tc>
        <w:tc>
          <w:tcPr>
            <w:tcW w:type="dxa" w:w="1308"/>
          </w:tcPr>
          <w:p>
            <w:pPr>
              <w:jc w:val="center"/>
            </w:pPr>
            <w:r/>
            <w:r>
              <w:rPr>
                <w:rFonts w:ascii="宋体" w:hAnsi="宋体" w:eastAsia="宋体"/>
                <w:b w:val="0"/>
                <w:color w:val="000000"/>
                <w:sz w:val="20"/>
              </w:rPr>
              <w:t>87.14±0.82</w:t>
            </w:r>
          </w:p>
        </w:tc>
        <w:tc>
          <w:tcPr>
            <w:tcW w:type="dxa" w:w="1308"/>
          </w:tcPr>
          <w:p>
            <w:pPr>
              <w:jc w:val="center"/>
            </w:pPr>
            <w:r/>
            <w:r>
              <w:rPr>
                <w:rFonts w:ascii="宋体" w:hAnsi="宋体" w:eastAsia="宋体"/>
                <w:b w:val="0"/>
                <w:color w:val="000000"/>
                <w:sz w:val="20"/>
              </w:rPr>
              <w:t>84.61±1.82</w:t>
            </w:r>
          </w:p>
        </w:tc>
        <w:tc>
          <w:tcPr>
            <w:tcW w:type="dxa" w:w="1308"/>
          </w:tcPr>
          <w:p>
            <w:pPr>
              <w:jc w:val="center"/>
            </w:pPr>
            <w:r/>
            <w:r>
              <w:rPr>
                <w:rFonts w:ascii="宋体" w:hAnsi="宋体" w:eastAsia="宋体"/>
                <w:b w:val="0"/>
                <w:color w:val="000000"/>
                <w:sz w:val="20"/>
              </w:rPr>
              <w:t>91.76±1.29</w:t>
            </w:r>
          </w:p>
        </w:tc>
      </w:tr>
      <w:tr>
        <w:tc>
          <w:tcPr>
            <w:tcW w:type="dxa" w:w="1308"/>
          </w:tcPr>
          <w:p>
            <w:pPr>
              <w:jc w:val="center"/>
            </w:pPr>
            <w:r/>
            <w:r>
              <w:rPr>
                <w:rFonts w:ascii="宋体" w:hAnsi="宋体" w:eastAsia="宋体"/>
                <w:b w:val="0"/>
                <w:color w:val="000000"/>
                <w:sz w:val="20"/>
              </w:rPr>
              <w:t>AA (%)</w:t>
            </w:r>
          </w:p>
        </w:tc>
        <w:tc>
          <w:tcPr>
            <w:tcW w:type="dxa" w:w="1308"/>
          </w:tcPr>
          <w:p>
            <w:pPr>
              <w:jc w:val="center"/>
            </w:pPr>
            <w:r/>
            <w:r>
              <w:rPr>
                <w:rFonts w:ascii="宋体" w:hAnsi="宋体" w:eastAsia="宋体"/>
                <w:b w:val="0"/>
                <w:color w:val="000000"/>
                <w:sz w:val="20"/>
              </w:rPr>
              <w:t>87.24±1.07</w:t>
            </w:r>
          </w:p>
        </w:tc>
        <w:tc>
          <w:tcPr>
            <w:tcW w:type="dxa" w:w="1308"/>
          </w:tcPr>
          <w:p>
            <w:pPr>
              <w:jc w:val="center"/>
            </w:pPr>
            <w:r/>
            <w:r>
              <w:rPr>
                <w:rFonts w:ascii="宋体" w:hAnsi="宋体" w:eastAsia="宋体"/>
                <w:b w:val="0"/>
                <w:color w:val="000000"/>
                <w:sz w:val="20"/>
              </w:rPr>
              <w:t>76.19±0.76</w:t>
            </w:r>
          </w:p>
        </w:tc>
        <w:tc>
          <w:tcPr>
            <w:tcW w:type="dxa" w:w="1308"/>
          </w:tcPr>
          <w:p>
            <w:pPr>
              <w:jc w:val="center"/>
            </w:pPr>
            <w:r/>
            <w:r>
              <w:rPr>
                <w:rFonts w:ascii="宋体" w:hAnsi="宋体" w:eastAsia="宋体"/>
                <w:b w:val="0"/>
                <w:color w:val="000000"/>
                <w:sz w:val="20"/>
              </w:rPr>
              <w:t>88.59±0.59</w:t>
            </w:r>
          </w:p>
        </w:tc>
        <w:tc>
          <w:tcPr>
            <w:tcW w:type="dxa" w:w="1308"/>
          </w:tcPr>
          <w:p>
            <w:pPr>
              <w:jc w:val="center"/>
            </w:pPr>
            <w:r/>
            <w:r>
              <w:rPr>
                <w:rFonts w:ascii="宋体" w:hAnsi="宋体" w:eastAsia="宋体"/>
                <w:b w:val="0"/>
                <w:color w:val="000000"/>
                <w:sz w:val="20"/>
              </w:rPr>
              <w:t>88.11±1.28</w:t>
            </w:r>
          </w:p>
        </w:tc>
        <w:tc>
          <w:tcPr>
            <w:tcW w:type="dxa" w:w="1308"/>
          </w:tcPr>
          <w:p>
            <w:pPr>
              <w:jc w:val="center"/>
            </w:pPr>
            <w:r/>
            <w:r>
              <w:rPr>
                <w:rFonts w:ascii="宋体" w:hAnsi="宋体" w:eastAsia="宋体"/>
                <w:b w:val="0"/>
                <w:color w:val="000000"/>
                <w:sz w:val="20"/>
              </w:rPr>
              <w:t>86.49±0.11</w:t>
            </w:r>
          </w:p>
        </w:tc>
        <w:tc>
          <w:tcPr>
            <w:tcW w:type="dxa" w:w="1308"/>
          </w:tcPr>
          <w:p>
            <w:pPr>
              <w:jc w:val="center"/>
            </w:pPr>
            <w:r/>
            <w:r>
              <w:rPr>
                <w:rFonts w:ascii="宋体" w:hAnsi="宋体" w:eastAsia="宋体"/>
                <w:b w:val="0"/>
                <w:color w:val="000000"/>
                <w:sz w:val="20"/>
              </w:rPr>
              <w:t>84.28±1.93</w:t>
            </w:r>
          </w:p>
        </w:tc>
        <w:tc>
          <w:tcPr>
            <w:tcW w:type="dxa" w:w="1308"/>
          </w:tcPr>
          <w:p>
            <w:pPr>
              <w:jc w:val="center"/>
            </w:pPr>
            <w:r/>
            <w:r>
              <w:rPr>
                <w:rFonts w:ascii="宋体" w:hAnsi="宋体" w:eastAsia="宋体"/>
                <w:b w:val="0"/>
                <w:color w:val="000000"/>
                <w:sz w:val="20"/>
              </w:rPr>
              <w:t>91.24±1.10</w:t>
            </w:r>
          </w:p>
        </w:tc>
      </w:tr>
      <w:tr>
        <w:tc>
          <w:tcPr>
            <w:tcW w:type="dxa" w:w="1308"/>
          </w:tcPr>
          <w:p>
            <w:pPr>
              <w:jc w:val="center"/>
            </w:pPr>
            <w:r/>
            <w:r>
              <w:rPr>
                <w:rFonts w:ascii="宋体" w:hAnsi="宋体" w:eastAsia="宋体"/>
                <w:b w:val="0"/>
                <w:color w:val="000000"/>
                <w:sz w:val="20"/>
              </w:rPr>
              <w:t>K×100</w:t>
            </w:r>
          </w:p>
        </w:tc>
        <w:tc>
          <w:tcPr>
            <w:tcW w:type="dxa" w:w="1308"/>
          </w:tcPr>
          <w:p>
            <w:pPr>
              <w:jc w:val="center"/>
            </w:pPr>
            <w:r/>
            <w:r>
              <w:rPr>
                <w:rFonts w:ascii="宋体" w:hAnsi="宋体" w:eastAsia="宋体"/>
                <w:b w:val="0"/>
                <w:color w:val="000000"/>
                <w:sz w:val="20"/>
              </w:rPr>
              <w:t>87.69±0.59</w:t>
            </w:r>
          </w:p>
        </w:tc>
        <w:tc>
          <w:tcPr>
            <w:tcW w:type="dxa" w:w="1308"/>
          </w:tcPr>
          <w:p>
            <w:pPr>
              <w:jc w:val="center"/>
            </w:pPr>
            <w:r/>
            <w:r>
              <w:rPr>
                <w:rFonts w:ascii="宋体" w:hAnsi="宋体" w:eastAsia="宋体"/>
                <w:b w:val="0"/>
                <w:color w:val="000000"/>
                <w:sz w:val="20"/>
              </w:rPr>
              <w:t>80.00±0.58</w:t>
            </w:r>
          </w:p>
        </w:tc>
        <w:tc>
          <w:tcPr>
            <w:tcW w:type="dxa" w:w="1308"/>
          </w:tcPr>
          <w:p>
            <w:pPr>
              <w:jc w:val="center"/>
            </w:pPr>
            <w:r/>
            <w:r>
              <w:rPr>
                <w:rFonts w:ascii="宋体" w:hAnsi="宋体" w:eastAsia="宋体"/>
                <w:b w:val="0"/>
                <w:color w:val="000000"/>
                <w:sz w:val="20"/>
              </w:rPr>
              <w:t>87.98±0.77</w:t>
            </w:r>
          </w:p>
        </w:tc>
        <w:tc>
          <w:tcPr>
            <w:tcW w:type="dxa" w:w="1308"/>
          </w:tcPr>
          <w:p>
            <w:pPr>
              <w:jc w:val="center"/>
            </w:pPr>
            <w:r/>
            <w:r>
              <w:rPr>
                <w:rFonts w:ascii="宋体" w:hAnsi="宋体" w:eastAsia="宋体"/>
                <w:b w:val="0"/>
                <w:color w:val="000000"/>
                <w:sz w:val="20"/>
              </w:rPr>
              <w:t>86.11±1.38</w:t>
            </w:r>
          </w:p>
        </w:tc>
        <w:tc>
          <w:tcPr>
            <w:tcW w:type="dxa" w:w="1308"/>
          </w:tcPr>
          <w:p>
            <w:pPr>
              <w:jc w:val="center"/>
            </w:pPr>
            <w:r/>
            <w:r>
              <w:rPr>
                <w:rFonts w:ascii="宋体" w:hAnsi="宋体" w:eastAsia="宋体"/>
                <w:b w:val="0"/>
                <w:color w:val="000000"/>
                <w:sz w:val="20"/>
              </w:rPr>
              <w:t>86.08±0.88</w:t>
            </w:r>
          </w:p>
        </w:tc>
        <w:tc>
          <w:tcPr>
            <w:tcW w:type="dxa" w:w="1308"/>
          </w:tcPr>
          <w:p>
            <w:pPr>
              <w:jc w:val="center"/>
            </w:pPr>
            <w:r/>
            <w:r>
              <w:rPr>
                <w:rFonts w:ascii="宋体" w:hAnsi="宋体" w:eastAsia="宋体"/>
                <w:b w:val="0"/>
                <w:color w:val="000000"/>
                <w:sz w:val="20"/>
              </w:rPr>
              <w:t>83.36±1.97</w:t>
            </w:r>
          </w:p>
        </w:tc>
        <w:tc>
          <w:tcPr>
            <w:tcW w:type="dxa" w:w="1308"/>
          </w:tcPr>
          <w:p>
            <w:pPr>
              <w:jc w:val="center"/>
            </w:pPr>
            <w:r/>
            <w:r>
              <w:rPr>
                <w:rFonts w:ascii="宋体" w:hAnsi="宋体" w:eastAsia="宋体"/>
                <w:b w:val="0"/>
                <w:color w:val="000000"/>
                <w:sz w:val="20"/>
              </w:rPr>
              <w:t>91.10±1.40</w:t>
            </w:r>
          </w:p>
        </w:tc>
      </w:tr>
    </w:tbl>
    <w:p>
      <w:pPr>
        <w:spacing w:after="120"/>
        <w:ind w:firstLine="0"/>
        <w:jc w:val="center"/>
      </w:pPr>
      <w:r>
        <w:rPr>
          <w:rFonts w:ascii="宋体" w:hAnsi="宋体" w:eastAsia="宋体"/>
          <w:b w:val="0"/>
          <w:color w:val="000000"/>
          <w:sz w:val="21"/>
        </w:rPr>
        <w:t>表5-5　不同方法在柏林数据集上的分类结果（平均值±标准差）</w:t>
      </w:r>
    </w:p>
    <w:tbl>
      <w:tblPr>
        <w:tblStyle w:val="af2"/>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c>
          <w:tcPr>
            <w:tcW w:type="dxa" w:w="1308"/>
          </w:tcPr>
          <w:p>
            <w:pPr>
              <w:jc w:val="center"/>
            </w:pPr>
            <w:r/>
            <w:r>
              <w:rPr>
                <w:rFonts w:ascii="宋体" w:hAnsi="宋体" w:eastAsia="宋体"/>
                <w:b/>
                <w:color w:val="000000"/>
                <w:sz w:val="20"/>
              </w:rPr>
              <w:t>类别</w:t>
            </w:r>
          </w:p>
        </w:tc>
        <w:tc>
          <w:tcPr>
            <w:tcW w:type="dxa" w:w="1308"/>
          </w:tcPr>
          <w:p>
            <w:pPr>
              <w:jc w:val="center"/>
            </w:pPr>
            <w:r/>
            <w:r>
              <w:rPr>
                <w:rFonts w:ascii="宋体" w:hAnsi="宋体" w:eastAsia="宋体"/>
                <w:b/>
                <w:color w:val="000000"/>
                <w:sz w:val="20"/>
              </w:rPr>
              <w:t>MFT</w:t>
            </w:r>
          </w:p>
        </w:tc>
        <w:tc>
          <w:tcPr>
            <w:tcW w:type="dxa" w:w="1308"/>
          </w:tcPr>
          <w:p>
            <w:pPr>
              <w:jc w:val="center"/>
            </w:pPr>
            <w:r/>
            <w:r>
              <w:rPr>
                <w:rFonts w:ascii="宋体" w:hAnsi="宋体" w:eastAsia="宋体"/>
                <w:b/>
                <w:color w:val="000000"/>
                <w:sz w:val="20"/>
              </w:rPr>
              <w:t>CCRNet</w:t>
            </w:r>
          </w:p>
        </w:tc>
        <w:tc>
          <w:tcPr>
            <w:tcW w:type="dxa" w:w="1308"/>
          </w:tcPr>
          <w:p>
            <w:pPr>
              <w:jc w:val="center"/>
            </w:pPr>
            <w:r/>
            <w:r>
              <w:rPr>
                <w:rFonts w:ascii="宋体" w:hAnsi="宋体" w:eastAsia="宋体"/>
                <w:b/>
                <w:color w:val="000000"/>
                <w:sz w:val="20"/>
              </w:rPr>
              <w:t>ExViT</w:t>
            </w:r>
          </w:p>
        </w:tc>
        <w:tc>
          <w:tcPr>
            <w:tcW w:type="dxa" w:w="1308"/>
          </w:tcPr>
          <w:p>
            <w:pPr>
              <w:jc w:val="center"/>
            </w:pPr>
            <w:r/>
            <w:r>
              <w:rPr>
                <w:rFonts w:ascii="宋体" w:hAnsi="宋体" w:eastAsia="宋体"/>
                <w:b/>
                <w:color w:val="000000"/>
                <w:sz w:val="20"/>
              </w:rPr>
              <w:t>NCGLF2</w:t>
            </w:r>
          </w:p>
        </w:tc>
        <w:tc>
          <w:tcPr>
            <w:tcW w:type="dxa" w:w="1308"/>
          </w:tcPr>
          <w:p>
            <w:pPr>
              <w:jc w:val="center"/>
            </w:pPr>
            <w:r/>
            <w:r>
              <w:rPr>
                <w:rFonts w:ascii="宋体" w:hAnsi="宋体" w:eastAsia="宋体"/>
                <w:b/>
                <w:color w:val="000000"/>
                <w:sz w:val="20"/>
              </w:rPr>
              <w:t>FrIT</w:t>
            </w:r>
          </w:p>
        </w:tc>
        <w:tc>
          <w:tcPr>
            <w:tcW w:type="dxa" w:w="1308"/>
          </w:tcPr>
          <w:p>
            <w:pPr>
              <w:jc w:val="center"/>
            </w:pPr>
            <w:r/>
            <w:r>
              <w:rPr>
                <w:rFonts w:ascii="宋体" w:hAnsi="宋体" w:eastAsia="宋体"/>
                <w:b/>
                <w:color w:val="000000"/>
                <w:sz w:val="20"/>
              </w:rPr>
              <w:t>S2CrossMamba</w:t>
            </w:r>
          </w:p>
        </w:tc>
        <w:tc>
          <w:tcPr>
            <w:tcW w:type="dxa" w:w="1308"/>
          </w:tcPr>
          <w:p>
            <w:pPr>
              <w:jc w:val="center"/>
            </w:pPr>
            <w:r/>
            <w:r>
              <w:rPr>
                <w:rFonts w:ascii="宋体" w:hAnsi="宋体" w:eastAsia="宋体"/>
                <w:b/>
                <w:color w:val="000000"/>
                <w:sz w:val="20"/>
              </w:rPr>
              <w:t>SC-MSS-MTr</w:t>
            </w:r>
          </w:p>
        </w:tc>
      </w:tr>
      <w:tr>
        <w:tc>
          <w:tcPr>
            <w:tcW w:type="dxa" w:w="1308"/>
          </w:tcPr>
          <w:p>
            <w:pPr>
              <w:jc w:val="center"/>
            </w:pPr>
            <w:r/>
            <w:r>
              <w:rPr>
                <w:rFonts w:ascii="宋体" w:hAnsi="宋体" w:eastAsia="宋体"/>
                <w:b w:val="0"/>
                <w:color w:val="000000"/>
                <w:sz w:val="20"/>
              </w:rPr>
              <w:t>森林</w:t>
            </w:r>
          </w:p>
        </w:tc>
        <w:tc>
          <w:tcPr>
            <w:tcW w:type="dxa" w:w="1308"/>
          </w:tcPr>
          <w:p>
            <w:pPr>
              <w:jc w:val="center"/>
            </w:pPr>
            <w:r/>
            <w:r>
              <w:rPr>
                <w:rFonts w:ascii="宋体" w:hAnsi="宋体" w:eastAsia="宋体"/>
                <w:b w:val="0"/>
                <w:color w:val="000000"/>
                <w:sz w:val="20"/>
              </w:rPr>
              <w:t>73.42±1.63</w:t>
            </w:r>
          </w:p>
        </w:tc>
        <w:tc>
          <w:tcPr>
            <w:tcW w:type="dxa" w:w="1308"/>
          </w:tcPr>
          <w:p>
            <w:pPr>
              <w:jc w:val="center"/>
            </w:pPr>
            <w:r/>
            <w:r>
              <w:rPr>
                <w:rFonts w:ascii="宋体" w:hAnsi="宋体" w:eastAsia="宋体"/>
                <w:b w:val="0"/>
                <w:color w:val="000000"/>
                <w:sz w:val="20"/>
              </w:rPr>
              <w:t>78.40±2.40</w:t>
            </w:r>
          </w:p>
        </w:tc>
        <w:tc>
          <w:tcPr>
            <w:tcW w:type="dxa" w:w="1308"/>
          </w:tcPr>
          <w:p>
            <w:pPr>
              <w:jc w:val="center"/>
            </w:pPr>
            <w:r/>
            <w:r>
              <w:rPr>
                <w:rFonts w:ascii="宋体" w:hAnsi="宋体" w:eastAsia="宋体"/>
                <w:b w:val="0"/>
                <w:color w:val="000000"/>
                <w:sz w:val="20"/>
              </w:rPr>
              <w:t>79.63±11.70</w:t>
            </w:r>
          </w:p>
        </w:tc>
        <w:tc>
          <w:tcPr>
            <w:tcW w:type="dxa" w:w="1308"/>
          </w:tcPr>
          <w:p>
            <w:pPr>
              <w:jc w:val="center"/>
            </w:pPr>
            <w:r/>
            <w:r>
              <w:rPr>
                <w:rFonts w:ascii="宋体" w:hAnsi="宋体" w:eastAsia="宋体"/>
                <w:b w:val="0"/>
                <w:color w:val="000000"/>
                <w:sz w:val="20"/>
              </w:rPr>
              <w:t>84.97±5.51</w:t>
            </w:r>
          </w:p>
        </w:tc>
        <w:tc>
          <w:tcPr>
            <w:tcW w:type="dxa" w:w="1308"/>
          </w:tcPr>
          <w:p>
            <w:pPr>
              <w:jc w:val="center"/>
            </w:pPr>
            <w:r/>
            <w:r>
              <w:rPr>
                <w:rFonts w:ascii="宋体" w:hAnsi="宋体" w:eastAsia="宋体"/>
                <w:b w:val="0"/>
                <w:color w:val="000000"/>
                <w:sz w:val="20"/>
              </w:rPr>
              <w:t>79.16±3.39</w:t>
            </w:r>
          </w:p>
        </w:tc>
        <w:tc>
          <w:tcPr>
            <w:tcW w:type="dxa" w:w="1308"/>
          </w:tcPr>
          <w:p>
            <w:pPr>
              <w:jc w:val="center"/>
            </w:pPr>
            <w:r/>
            <w:r>
              <w:rPr>
                <w:rFonts w:ascii="宋体" w:hAnsi="宋体" w:eastAsia="宋体"/>
                <w:b w:val="0"/>
                <w:color w:val="000000"/>
                <w:sz w:val="20"/>
              </w:rPr>
              <w:t>75.91±5.30</w:t>
            </w:r>
          </w:p>
        </w:tc>
        <w:tc>
          <w:tcPr>
            <w:tcW w:type="dxa" w:w="1308"/>
          </w:tcPr>
          <w:p>
            <w:pPr>
              <w:jc w:val="center"/>
            </w:pPr>
            <w:r/>
            <w:r>
              <w:rPr>
                <w:rFonts w:ascii="宋体" w:hAnsi="宋体" w:eastAsia="宋体"/>
                <w:b w:val="0"/>
                <w:color w:val="000000"/>
                <w:sz w:val="20"/>
              </w:rPr>
              <w:t>83.37±3.64</w:t>
            </w:r>
          </w:p>
        </w:tc>
      </w:tr>
      <w:tr>
        <w:tc>
          <w:tcPr>
            <w:tcW w:type="dxa" w:w="1308"/>
          </w:tcPr>
          <w:p>
            <w:pPr>
              <w:jc w:val="center"/>
            </w:pPr>
            <w:r/>
            <w:r>
              <w:rPr>
                <w:rFonts w:ascii="宋体" w:hAnsi="宋体" w:eastAsia="宋体"/>
                <w:b w:val="0"/>
                <w:color w:val="000000"/>
                <w:sz w:val="20"/>
              </w:rPr>
              <w:t>居民区</w:t>
            </w:r>
          </w:p>
        </w:tc>
        <w:tc>
          <w:tcPr>
            <w:tcW w:type="dxa" w:w="1308"/>
          </w:tcPr>
          <w:p>
            <w:pPr>
              <w:jc w:val="center"/>
            </w:pPr>
            <w:r/>
            <w:r>
              <w:rPr>
                <w:rFonts w:ascii="宋体" w:hAnsi="宋体" w:eastAsia="宋体"/>
                <w:b w:val="0"/>
                <w:color w:val="000000"/>
                <w:sz w:val="20"/>
              </w:rPr>
              <w:t>94.49±0.21</w:t>
            </w:r>
          </w:p>
        </w:tc>
        <w:tc>
          <w:tcPr>
            <w:tcW w:type="dxa" w:w="1308"/>
          </w:tcPr>
          <w:p>
            <w:pPr>
              <w:jc w:val="center"/>
            </w:pPr>
            <w:r/>
            <w:r>
              <w:rPr>
                <w:rFonts w:ascii="宋体" w:hAnsi="宋体" w:eastAsia="宋体"/>
                <w:b w:val="0"/>
                <w:color w:val="000000"/>
                <w:sz w:val="20"/>
              </w:rPr>
              <w:t>91.93±0.44</w:t>
            </w:r>
          </w:p>
        </w:tc>
        <w:tc>
          <w:tcPr>
            <w:tcW w:type="dxa" w:w="1308"/>
          </w:tcPr>
          <w:p>
            <w:pPr>
              <w:jc w:val="center"/>
            </w:pPr>
            <w:r/>
            <w:r>
              <w:rPr>
                <w:rFonts w:ascii="宋体" w:hAnsi="宋体" w:eastAsia="宋体"/>
                <w:b w:val="0"/>
                <w:color w:val="000000"/>
                <w:sz w:val="20"/>
              </w:rPr>
              <w:t>93.61±2.66</w:t>
            </w:r>
          </w:p>
        </w:tc>
        <w:tc>
          <w:tcPr>
            <w:tcW w:type="dxa" w:w="1308"/>
          </w:tcPr>
          <w:p>
            <w:pPr>
              <w:jc w:val="center"/>
            </w:pPr>
            <w:r/>
            <w:r>
              <w:rPr>
                <w:rFonts w:ascii="宋体" w:hAnsi="宋体" w:eastAsia="宋体"/>
                <w:b w:val="0"/>
                <w:color w:val="000000"/>
                <w:sz w:val="20"/>
              </w:rPr>
              <w:t>92.97±2.79</w:t>
            </w:r>
          </w:p>
        </w:tc>
        <w:tc>
          <w:tcPr>
            <w:tcW w:type="dxa" w:w="1308"/>
          </w:tcPr>
          <w:p>
            <w:pPr>
              <w:jc w:val="center"/>
            </w:pPr>
            <w:r/>
            <w:r>
              <w:rPr>
                <w:rFonts w:ascii="宋体" w:hAnsi="宋体" w:eastAsia="宋体"/>
                <w:b w:val="0"/>
                <w:color w:val="000000"/>
                <w:sz w:val="20"/>
              </w:rPr>
              <w:t>92.46±1.22</w:t>
            </w:r>
          </w:p>
        </w:tc>
        <w:tc>
          <w:tcPr>
            <w:tcW w:type="dxa" w:w="1308"/>
          </w:tcPr>
          <w:p>
            <w:pPr>
              <w:jc w:val="center"/>
            </w:pPr>
            <w:r/>
            <w:r>
              <w:rPr>
                <w:rFonts w:ascii="宋体" w:hAnsi="宋体" w:eastAsia="宋体"/>
                <w:b w:val="0"/>
                <w:color w:val="000000"/>
                <w:sz w:val="20"/>
              </w:rPr>
              <w:t>88.24±8.12</w:t>
            </w:r>
          </w:p>
        </w:tc>
        <w:tc>
          <w:tcPr>
            <w:tcW w:type="dxa" w:w="1308"/>
          </w:tcPr>
          <w:p>
            <w:pPr>
              <w:jc w:val="center"/>
            </w:pPr>
            <w:r/>
            <w:r>
              <w:rPr>
                <w:rFonts w:ascii="宋体" w:hAnsi="宋体" w:eastAsia="宋体"/>
                <w:b w:val="0"/>
                <w:color w:val="000000"/>
                <w:sz w:val="20"/>
              </w:rPr>
              <w:t>94.72±0.86</w:t>
            </w:r>
          </w:p>
        </w:tc>
      </w:tr>
      <w:tr>
        <w:tc>
          <w:tcPr>
            <w:tcW w:type="dxa" w:w="1308"/>
          </w:tcPr>
          <w:p>
            <w:pPr>
              <w:jc w:val="center"/>
            </w:pPr>
            <w:r/>
            <w:r>
              <w:rPr>
                <w:rFonts w:ascii="宋体" w:hAnsi="宋体" w:eastAsia="宋体"/>
                <w:b w:val="0"/>
                <w:color w:val="000000"/>
                <w:sz w:val="20"/>
              </w:rPr>
              <w:t>工业区</w:t>
            </w:r>
          </w:p>
        </w:tc>
        <w:tc>
          <w:tcPr>
            <w:tcW w:type="dxa" w:w="1308"/>
          </w:tcPr>
          <w:p>
            <w:pPr>
              <w:jc w:val="center"/>
            </w:pPr>
            <w:r/>
            <w:r>
              <w:rPr>
                <w:rFonts w:ascii="宋体" w:hAnsi="宋体" w:eastAsia="宋体"/>
                <w:b w:val="0"/>
                <w:color w:val="000000"/>
                <w:sz w:val="20"/>
              </w:rPr>
              <w:t>56.56±3.58</w:t>
            </w:r>
          </w:p>
        </w:tc>
        <w:tc>
          <w:tcPr>
            <w:tcW w:type="dxa" w:w="1308"/>
          </w:tcPr>
          <w:p>
            <w:pPr>
              <w:jc w:val="center"/>
            </w:pPr>
            <w:r/>
            <w:r>
              <w:rPr>
                <w:rFonts w:ascii="宋体" w:hAnsi="宋体" w:eastAsia="宋体"/>
                <w:b w:val="0"/>
                <w:color w:val="000000"/>
                <w:sz w:val="20"/>
              </w:rPr>
              <w:t>14.56±0.88</w:t>
            </w:r>
          </w:p>
        </w:tc>
        <w:tc>
          <w:tcPr>
            <w:tcW w:type="dxa" w:w="1308"/>
          </w:tcPr>
          <w:p>
            <w:pPr>
              <w:jc w:val="center"/>
            </w:pPr>
            <w:r/>
            <w:r>
              <w:rPr>
                <w:rFonts w:ascii="宋体" w:hAnsi="宋体" w:eastAsia="宋体"/>
                <w:b w:val="0"/>
                <w:color w:val="000000"/>
                <w:sz w:val="20"/>
              </w:rPr>
              <w:t>31.78±16.85</w:t>
            </w:r>
          </w:p>
        </w:tc>
        <w:tc>
          <w:tcPr>
            <w:tcW w:type="dxa" w:w="1308"/>
          </w:tcPr>
          <w:p>
            <w:pPr>
              <w:jc w:val="center"/>
            </w:pPr>
            <w:r/>
            <w:r>
              <w:rPr>
                <w:rFonts w:ascii="宋体" w:hAnsi="宋体" w:eastAsia="宋体"/>
                <w:b w:val="0"/>
                <w:color w:val="000000"/>
                <w:sz w:val="20"/>
              </w:rPr>
              <w:t>34.21±23.38</w:t>
            </w:r>
          </w:p>
        </w:tc>
        <w:tc>
          <w:tcPr>
            <w:tcW w:type="dxa" w:w="1308"/>
          </w:tcPr>
          <w:p>
            <w:pPr>
              <w:jc w:val="center"/>
            </w:pPr>
            <w:r/>
            <w:r>
              <w:rPr>
                <w:rFonts w:ascii="宋体" w:hAnsi="宋体" w:eastAsia="宋体"/>
                <w:b w:val="0"/>
                <w:color w:val="000000"/>
                <w:sz w:val="20"/>
              </w:rPr>
              <w:t>38.46±8.43</w:t>
            </w:r>
          </w:p>
        </w:tc>
        <w:tc>
          <w:tcPr>
            <w:tcW w:type="dxa" w:w="1308"/>
          </w:tcPr>
          <w:p>
            <w:pPr>
              <w:jc w:val="center"/>
            </w:pPr>
            <w:r/>
            <w:r>
              <w:rPr>
                <w:rFonts w:ascii="宋体" w:hAnsi="宋体" w:eastAsia="宋体"/>
                <w:b w:val="0"/>
                <w:color w:val="000000"/>
                <w:sz w:val="20"/>
              </w:rPr>
              <w:t>41.05±15.94</w:t>
            </w:r>
          </w:p>
        </w:tc>
        <w:tc>
          <w:tcPr>
            <w:tcW w:type="dxa" w:w="1308"/>
          </w:tcPr>
          <w:p>
            <w:pPr>
              <w:jc w:val="center"/>
            </w:pPr>
            <w:r/>
            <w:r>
              <w:rPr>
                <w:rFonts w:ascii="宋体" w:hAnsi="宋体" w:eastAsia="宋体"/>
                <w:b w:val="0"/>
                <w:color w:val="000000"/>
                <w:sz w:val="20"/>
              </w:rPr>
              <w:t>40.79±14.04</w:t>
            </w:r>
          </w:p>
        </w:tc>
      </w:tr>
      <w:tr>
        <w:tc>
          <w:tcPr>
            <w:tcW w:type="dxa" w:w="1308"/>
          </w:tcPr>
          <w:p>
            <w:pPr>
              <w:jc w:val="center"/>
            </w:pPr>
            <w:r/>
            <w:r>
              <w:rPr>
                <w:rFonts w:ascii="宋体" w:hAnsi="宋体" w:eastAsia="宋体"/>
                <w:b w:val="0"/>
                <w:color w:val="000000"/>
                <w:sz w:val="20"/>
              </w:rPr>
              <w:t>低矮植物</w:t>
            </w:r>
          </w:p>
        </w:tc>
        <w:tc>
          <w:tcPr>
            <w:tcW w:type="dxa" w:w="1308"/>
          </w:tcPr>
          <w:p>
            <w:pPr>
              <w:jc w:val="center"/>
            </w:pPr>
            <w:r/>
            <w:r>
              <w:rPr>
                <w:rFonts w:ascii="宋体" w:hAnsi="宋体" w:eastAsia="宋体"/>
                <w:b w:val="0"/>
                <w:color w:val="000000"/>
                <w:sz w:val="20"/>
              </w:rPr>
              <w:t>82.22±3.31</w:t>
            </w:r>
          </w:p>
        </w:tc>
        <w:tc>
          <w:tcPr>
            <w:tcW w:type="dxa" w:w="1308"/>
          </w:tcPr>
          <w:p>
            <w:pPr>
              <w:jc w:val="center"/>
            </w:pPr>
            <w:r/>
            <w:r>
              <w:rPr>
                <w:rFonts w:ascii="宋体" w:hAnsi="宋体" w:eastAsia="宋体"/>
                <w:b w:val="0"/>
                <w:color w:val="000000"/>
                <w:sz w:val="20"/>
              </w:rPr>
              <w:t>75.73±1.25</w:t>
            </w:r>
          </w:p>
        </w:tc>
        <w:tc>
          <w:tcPr>
            <w:tcW w:type="dxa" w:w="1308"/>
          </w:tcPr>
          <w:p>
            <w:pPr>
              <w:jc w:val="center"/>
            </w:pPr>
            <w:r/>
            <w:r>
              <w:rPr>
                <w:rFonts w:ascii="宋体" w:hAnsi="宋体" w:eastAsia="宋体"/>
                <w:b w:val="0"/>
                <w:color w:val="000000"/>
                <w:sz w:val="20"/>
              </w:rPr>
              <w:t>75.32±15.07</w:t>
            </w:r>
          </w:p>
        </w:tc>
        <w:tc>
          <w:tcPr>
            <w:tcW w:type="dxa" w:w="1308"/>
          </w:tcPr>
          <w:p>
            <w:pPr>
              <w:jc w:val="center"/>
            </w:pPr>
            <w:r/>
            <w:r>
              <w:rPr>
                <w:rFonts w:ascii="宋体" w:hAnsi="宋体" w:eastAsia="宋体"/>
                <w:b w:val="0"/>
                <w:color w:val="000000"/>
                <w:sz w:val="20"/>
              </w:rPr>
              <w:t>82.55±3.48</w:t>
            </w:r>
          </w:p>
        </w:tc>
        <w:tc>
          <w:tcPr>
            <w:tcW w:type="dxa" w:w="1308"/>
          </w:tcPr>
          <w:p>
            <w:pPr>
              <w:jc w:val="center"/>
            </w:pPr>
            <w:r/>
            <w:r>
              <w:rPr>
                <w:rFonts w:ascii="宋体" w:hAnsi="宋体" w:eastAsia="宋体"/>
                <w:b w:val="0"/>
                <w:color w:val="000000"/>
                <w:sz w:val="20"/>
              </w:rPr>
              <w:t>81.42±3.41</w:t>
            </w:r>
          </w:p>
        </w:tc>
        <w:tc>
          <w:tcPr>
            <w:tcW w:type="dxa" w:w="1308"/>
          </w:tcPr>
          <w:p>
            <w:pPr>
              <w:jc w:val="center"/>
            </w:pPr>
            <w:r/>
            <w:r>
              <w:rPr>
                <w:rFonts w:ascii="宋体" w:hAnsi="宋体" w:eastAsia="宋体"/>
                <w:b w:val="0"/>
                <w:color w:val="000000"/>
                <w:sz w:val="20"/>
              </w:rPr>
              <w:t>83.51±9.19</w:t>
            </w:r>
          </w:p>
        </w:tc>
        <w:tc>
          <w:tcPr>
            <w:tcW w:type="dxa" w:w="1308"/>
          </w:tcPr>
          <w:p>
            <w:pPr>
              <w:jc w:val="center"/>
            </w:pPr>
            <w:r/>
            <w:r>
              <w:rPr>
                <w:rFonts w:ascii="宋体" w:hAnsi="宋体" w:eastAsia="宋体"/>
                <w:b w:val="0"/>
                <w:color w:val="000000"/>
                <w:sz w:val="20"/>
              </w:rPr>
              <w:t>87.01±2.47</w:t>
            </w:r>
          </w:p>
        </w:tc>
      </w:tr>
      <w:tr>
        <w:tc>
          <w:tcPr>
            <w:tcW w:type="dxa" w:w="1308"/>
          </w:tcPr>
          <w:p>
            <w:pPr>
              <w:jc w:val="center"/>
            </w:pPr>
            <w:r/>
            <w:r>
              <w:rPr>
                <w:rFonts w:ascii="宋体" w:hAnsi="宋体" w:eastAsia="宋体"/>
                <w:b w:val="0"/>
                <w:color w:val="000000"/>
                <w:sz w:val="20"/>
              </w:rPr>
              <w:t>土壤</w:t>
            </w:r>
          </w:p>
        </w:tc>
        <w:tc>
          <w:tcPr>
            <w:tcW w:type="dxa" w:w="1308"/>
          </w:tcPr>
          <w:p>
            <w:pPr>
              <w:jc w:val="center"/>
            </w:pPr>
            <w:r/>
            <w:r>
              <w:rPr>
                <w:rFonts w:ascii="宋体" w:hAnsi="宋体" w:eastAsia="宋体"/>
                <w:b w:val="0"/>
                <w:color w:val="000000"/>
                <w:sz w:val="20"/>
              </w:rPr>
              <w:t>80.83±4.89</w:t>
            </w:r>
          </w:p>
        </w:tc>
        <w:tc>
          <w:tcPr>
            <w:tcW w:type="dxa" w:w="1308"/>
          </w:tcPr>
          <w:p>
            <w:pPr>
              <w:jc w:val="center"/>
            </w:pPr>
            <w:r/>
            <w:r>
              <w:rPr>
                <w:rFonts w:ascii="宋体" w:hAnsi="宋体" w:eastAsia="宋体"/>
                <w:b w:val="0"/>
                <w:color w:val="000000"/>
                <w:sz w:val="20"/>
              </w:rPr>
              <w:t>80.66±7.16</w:t>
            </w:r>
          </w:p>
        </w:tc>
        <w:tc>
          <w:tcPr>
            <w:tcW w:type="dxa" w:w="1308"/>
          </w:tcPr>
          <w:p>
            <w:pPr>
              <w:jc w:val="center"/>
            </w:pPr>
            <w:r/>
            <w:r>
              <w:rPr>
                <w:rFonts w:ascii="宋体" w:hAnsi="宋体" w:eastAsia="宋体"/>
                <w:b w:val="0"/>
                <w:color w:val="000000"/>
                <w:sz w:val="20"/>
              </w:rPr>
              <w:t>69.79±16.70</w:t>
            </w:r>
          </w:p>
        </w:tc>
        <w:tc>
          <w:tcPr>
            <w:tcW w:type="dxa" w:w="1308"/>
          </w:tcPr>
          <w:p>
            <w:pPr>
              <w:jc w:val="center"/>
            </w:pPr>
            <w:r/>
            <w:r>
              <w:rPr>
                <w:rFonts w:ascii="宋体" w:hAnsi="宋体" w:eastAsia="宋体"/>
                <w:b w:val="0"/>
                <w:color w:val="000000"/>
                <w:sz w:val="20"/>
              </w:rPr>
              <w:t>79.31±4.88</w:t>
            </w:r>
          </w:p>
        </w:tc>
        <w:tc>
          <w:tcPr>
            <w:tcW w:type="dxa" w:w="1308"/>
          </w:tcPr>
          <w:p>
            <w:pPr>
              <w:jc w:val="center"/>
            </w:pPr>
            <w:r/>
            <w:r>
              <w:rPr>
                <w:rFonts w:ascii="宋体" w:hAnsi="宋体" w:eastAsia="宋体"/>
                <w:b w:val="0"/>
                <w:color w:val="000000"/>
                <w:sz w:val="20"/>
              </w:rPr>
              <w:t>85.35±6.04</w:t>
            </w:r>
          </w:p>
        </w:tc>
        <w:tc>
          <w:tcPr>
            <w:tcW w:type="dxa" w:w="1308"/>
          </w:tcPr>
          <w:p>
            <w:pPr>
              <w:jc w:val="center"/>
            </w:pPr>
            <w:r/>
            <w:r>
              <w:rPr>
                <w:rFonts w:ascii="宋体" w:hAnsi="宋体" w:eastAsia="宋体"/>
                <w:b w:val="0"/>
                <w:color w:val="000000"/>
                <w:sz w:val="20"/>
              </w:rPr>
              <w:t>80.32±8.42</w:t>
            </w:r>
          </w:p>
        </w:tc>
        <w:tc>
          <w:tcPr>
            <w:tcW w:type="dxa" w:w="1308"/>
          </w:tcPr>
          <w:p>
            <w:pPr>
              <w:jc w:val="center"/>
            </w:pPr>
            <w:r/>
            <w:r>
              <w:rPr>
                <w:rFonts w:ascii="宋体" w:hAnsi="宋体" w:eastAsia="宋体"/>
                <w:b w:val="0"/>
                <w:color w:val="000000"/>
                <w:sz w:val="20"/>
              </w:rPr>
              <w:t>71.71±5.95</w:t>
            </w:r>
          </w:p>
        </w:tc>
      </w:tr>
      <w:tr>
        <w:tc>
          <w:tcPr>
            <w:tcW w:type="dxa" w:w="1308"/>
          </w:tcPr>
          <w:p>
            <w:pPr>
              <w:jc w:val="center"/>
            </w:pPr>
            <w:r/>
            <w:r>
              <w:rPr>
                <w:rFonts w:ascii="宋体" w:hAnsi="宋体" w:eastAsia="宋体"/>
                <w:b w:val="0"/>
                <w:color w:val="000000"/>
                <w:sz w:val="20"/>
              </w:rPr>
              <w:t>家庭菜园</w:t>
            </w:r>
          </w:p>
        </w:tc>
        <w:tc>
          <w:tcPr>
            <w:tcW w:type="dxa" w:w="1308"/>
          </w:tcPr>
          <w:p>
            <w:pPr>
              <w:jc w:val="center"/>
            </w:pPr>
            <w:r/>
            <w:r>
              <w:rPr>
                <w:rFonts w:ascii="宋体" w:hAnsi="宋体" w:eastAsia="宋体"/>
                <w:b w:val="0"/>
                <w:color w:val="000000"/>
                <w:sz w:val="20"/>
              </w:rPr>
              <w:t>29.22±16.45</w:t>
            </w:r>
          </w:p>
        </w:tc>
        <w:tc>
          <w:tcPr>
            <w:tcW w:type="dxa" w:w="1308"/>
          </w:tcPr>
          <w:p>
            <w:pPr>
              <w:jc w:val="center"/>
            </w:pPr>
            <w:r/>
            <w:r>
              <w:rPr>
                <w:rFonts w:ascii="宋体" w:hAnsi="宋体" w:eastAsia="宋体"/>
                <w:b w:val="0"/>
                <w:color w:val="000000"/>
                <w:sz w:val="20"/>
              </w:rPr>
              <w:t>7.86±2.86</w:t>
            </w:r>
          </w:p>
        </w:tc>
        <w:tc>
          <w:tcPr>
            <w:tcW w:type="dxa" w:w="1308"/>
          </w:tcPr>
          <w:p>
            <w:pPr>
              <w:jc w:val="center"/>
            </w:pPr>
            <w:r/>
            <w:r>
              <w:rPr>
                <w:rFonts w:ascii="宋体" w:hAnsi="宋体" w:eastAsia="宋体"/>
                <w:b w:val="0"/>
                <w:color w:val="000000"/>
                <w:sz w:val="20"/>
              </w:rPr>
              <w:t>5.49±10.46</w:t>
            </w:r>
          </w:p>
        </w:tc>
        <w:tc>
          <w:tcPr>
            <w:tcW w:type="dxa" w:w="1308"/>
          </w:tcPr>
          <w:p>
            <w:pPr>
              <w:jc w:val="center"/>
            </w:pPr>
            <w:r/>
            <w:r>
              <w:rPr>
                <w:rFonts w:ascii="宋体" w:hAnsi="宋体" w:eastAsia="宋体"/>
                <w:b w:val="0"/>
                <w:color w:val="000000"/>
                <w:sz w:val="20"/>
              </w:rPr>
              <w:t>21.03±12.76</w:t>
            </w:r>
          </w:p>
        </w:tc>
        <w:tc>
          <w:tcPr>
            <w:tcW w:type="dxa" w:w="1308"/>
          </w:tcPr>
          <w:p>
            <w:pPr>
              <w:jc w:val="center"/>
            </w:pPr>
            <w:r/>
            <w:r>
              <w:rPr>
                <w:rFonts w:ascii="宋体" w:hAnsi="宋体" w:eastAsia="宋体"/>
                <w:b w:val="0"/>
                <w:color w:val="000000"/>
                <w:sz w:val="20"/>
              </w:rPr>
              <w:t>29.01±10.29</w:t>
            </w:r>
          </w:p>
        </w:tc>
        <w:tc>
          <w:tcPr>
            <w:tcW w:type="dxa" w:w="1308"/>
          </w:tcPr>
          <w:p>
            <w:pPr>
              <w:jc w:val="center"/>
            </w:pPr>
            <w:r/>
            <w:r>
              <w:rPr>
                <w:rFonts w:ascii="宋体" w:hAnsi="宋体" w:eastAsia="宋体"/>
                <w:b w:val="0"/>
                <w:color w:val="000000"/>
                <w:sz w:val="20"/>
              </w:rPr>
              <w:t>24.77±26.16</w:t>
            </w:r>
          </w:p>
        </w:tc>
        <w:tc>
          <w:tcPr>
            <w:tcW w:type="dxa" w:w="1308"/>
          </w:tcPr>
          <w:p>
            <w:pPr>
              <w:jc w:val="center"/>
            </w:pPr>
            <w:r/>
            <w:r>
              <w:rPr>
                <w:rFonts w:ascii="宋体" w:hAnsi="宋体" w:eastAsia="宋体"/>
                <w:b w:val="0"/>
                <w:color w:val="000000"/>
                <w:sz w:val="20"/>
              </w:rPr>
              <w:t>38.71±6.88</w:t>
            </w:r>
          </w:p>
        </w:tc>
      </w:tr>
      <w:tr>
        <w:tc>
          <w:tcPr>
            <w:tcW w:type="dxa" w:w="1308"/>
          </w:tcPr>
          <w:p>
            <w:pPr>
              <w:jc w:val="center"/>
            </w:pPr>
            <w:r/>
            <w:r>
              <w:rPr>
                <w:rFonts w:ascii="宋体" w:hAnsi="宋体" w:eastAsia="宋体"/>
                <w:b w:val="0"/>
                <w:color w:val="000000"/>
                <w:sz w:val="20"/>
              </w:rPr>
              <w:t>商业区</w:t>
            </w:r>
          </w:p>
        </w:tc>
        <w:tc>
          <w:tcPr>
            <w:tcW w:type="dxa" w:w="1308"/>
          </w:tcPr>
          <w:p>
            <w:pPr>
              <w:jc w:val="center"/>
            </w:pPr>
            <w:r/>
            <w:r>
              <w:rPr>
                <w:rFonts w:ascii="宋体" w:hAnsi="宋体" w:eastAsia="宋体"/>
                <w:b w:val="0"/>
                <w:color w:val="000000"/>
                <w:sz w:val="20"/>
              </w:rPr>
              <w:t>14.03±1.62</w:t>
            </w:r>
          </w:p>
        </w:tc>
        <w:tc>
          <w:tcPr>
            <w:tcW w:type="dxa" w:w="1308"/>
          </w:tcPr>
          <w:p>
            <w:pPr>
              <w:jc w:val="center"/>
            </w:pPr>
            <w:r/>
            <w:r>
              <w:rPr>
                <w:rFonts w:ascii="宋体" w:hAnsi="宋体" w:eastAsia="宋体"/>
                <w:b w:val="0"/>
                <w:color w:val="000000"/>
                <w:sz w:val="20"/>
              </w:rPr>
              <w:t>19.05±2.07</w:t>
            </w:r>
          </w:p>
        </w:tc>
        <w:tc>
          <w:tcPr>
            <w:tcW w:type="dxa" w:w="1308"/>
          </w:tcPr>
          <w:p>
            <w:pPr>
              <w:jc w:val="center"/>
            </w:pPr>
            <w:r/>
            <w:r>
              <w:rPr>
                <w:rFonts w:ascii="宋体" w:hAnsi="宋体" w:eastAsia="宋体"/>
                <w:b w:val="0"/>
                <w:color w:val="000000"/>
                <w:sz w:val="20"/>
              </w:rPr>
              <w:t>36.41±7.96</w:t>
            </w:r>
          </w:p>
        </w:tc>
        <w:tc>
          <w:tcPr>
            <w:tcW w:type="dxa" w:w="1308"/>
          </w:tcPr>
          <w:p>
            <w:pPr>
              <w:jc w:val="center"/>
            </w:pPr>
            <w:r/>
            <w:r>
              <w:rPr>
                <w:rFonts w:ascii="宋体" w:hAnsi="宋体" w:eastAsia="宋体"/>
                <w:b w:val="0"/>
                <w:color w:val="000000"/>
                <w:sz w:val="20"/>
              </w:rPr>
              <w:t>30.91±16.94</w:t>
            </w:r>
          </w:p>
        </w:tc>
        <w:tc>
          <w:tcPr>
            <w:tcW w:type="dxa" w:w="1308"/>
          </w:tcPr>
          <w:p>
            <w:pPr>
              <w:jc w:val="center"/>
            </w:pPr>
            <w:r/>
            <w:r>
              <w:rPr>
                <w:rFonts w:ascii="宋体" w:hAnsi="宋体" w:eastAsia="宋体"/>
                <w:b w:val="0"/>
                <w:color w:val="000000"/>
                <w:sz w:val="20"/>
              </w:rPr>
              <w:t>27.22±4.19</w:t>
            </w:r>
          </w:p>
        </w:tc>
        <w:tc>
          <w:tcPr>
            <w:tcW w:type="dxa" w:w="1308"/>
          </w:tcPr>
          <w:p>
            <w:pPr>
              <w:jc w:val="center"/>
            </w:pPr>
            <w:r/>
            <w:r>
              <w:rPr>
                <w:rFonts w:ascii="宋体" w:hAnsi="宋体" w:eastAsia="宋体"/>
                <w:b w:val="0"/>
                <w:color w:val="000000"/>
                <w:sz w:val="20"/>
              </w:rPr>
              <w:t>29.61±18.58</w:t>
            </w:r>
          </w:p>
        </w:tc>
        <w:tc>
          <w:tcPr>
            <w:tcW w:type="dxa" w:w="1308"/>
          </w:tcPr>
          <w:p>
            <w:pPr>
              <w:jc w:val="center"/>
            </w:pPr>
            <w:r/>
            <w:r>
              <w:rPr>
                <w:rFonts w:ascii="宋体" w:hAnsi="宋体" w:eastAsia="宋体"/>
                <w:b w:val="0"/>
                <w:color w:val="000000"/>
                <w:sz w:val="20"/>
              </w:rPr>
              <w:t>38.59±11.07</w:t>
            </w:r>
          </w:p>
        </w:tc>
      </w:tr>
      <w:tr>
        <w:tc>
          <w:tcPr>
            <w:tcW w:type="dxa" w:w="1308"/>
          </w:tcPr>
          <w:p>
            <w:pPr>
              <w:jc w:val="center"/>
            </w:pPr>
            <w:r/>
            <w:r>
              <w:rPr>
                <w:rFonts w:ascii="宋体" w:hAnsi="宋体" w:eastAsia="宋体"/>
                <w:b w:val="0"/>
                <w:color w:val="000000"/>
                <w:sz w:val="20"/>
              </w:rPr>
              <w:t>水</w:t>
            </w:r>
          </w:p>
        </w:tc>
        <w:tc>
          <w:tcPr>
            <w:tcW w:type="dxa" w:w="1308"/>
          </w:tcPr>
          <w:p>
            <w:pPr>
              <w:jc w:val="center"/>
            </w:pPr>
            <w:r/>
            <w:r>
              <w:rPr>
                <w:rFonts w:ascii="宋体" w:hAnsi="宋体" w:eastAsia="宋体"/>
                <w:b w:val="0"/>
                <w:color w:val="000000"/>
                <w:sz w:val="20"/>
              </w:rPr>
              <w:t>63.67±8.08</w:t>
            </w:r>
          </w:p>
        </w:tc>
        <w:tc>
          <w:tcPr>
            <w:tcW w:type="dxa" w:w="1308"/>
          </w:tcPr>
          <w:p>
            <w:pPr>
              <w:jc w:val="center"/>
            </w:pPr>
            <w:r/>
            <w:r>
              <w:rPr>
                <w:rFonts w:ascii="宋体" w:hAnsi="宋体" w:eastAsia="宋体"/>
                <w:b w:val="0"/>
                <w:color w:val="000000"/>
                <w:sz w:val="20"/>
              </w:rPr>
              <w:t>37.76±10.24</w:t>
            </w:r>
          </w:p>
        </w:tc>
        <w:tc>
          <w:tcPr>
            <w:tcW w:type="dxa" w:w="1308"/>
          </w:tcPr>
          <w:p>
            <w:pPr>
              <w:jc w:val="center"/>
            </w:pPr>
            <w:r/>
            <w:r>
              <w:rPr>
                <w:rFonts w:ascii="宋体" w:hAnsi="宋体" w:eastAsia="宋体"/>
                <w:b w:val="0"/>
                <w:color w:val="000000"/>
                <w:sz w:val="20"/>
              </w:rPr>
              <w:t>37.43±25.18</w:t>
            </w:r>
          </w:p>
        </w:tc>
        <w:tc>
          <w:tcPr>
            <w:tcW w:type="dxa" w:w="1308"/>
          </w:tcPr>
          <w:p>
            <w:pPr>
              <w:jc w:val="center"/>
            </w:pPr>
            <w:r/>
            <w:r>
              <w:rPr>
                <w:rFonts w:ascii="宋体" w:hAnsi="宋体" w:eastAsia="宋体"/>
                <w:b w:val="0"/>
                <w:color w:val="000000"/>
                <w:sz w:val="20"/>
              </w:rPr>
              <w:t>23.99±19.65</w:t>
            </w:r>
          </w:p>
        </w:tc>
        <w:tc>
          <w:tcPr>
            <w:tcW w:type="dxa" w:w="1308"/>
          </w:tcPr>
          <w:p>
            <w:pPr>
              <w:jc w:val="center"/>
            </w:pPr>
            <w:r/>
            <w:r>
              <w:rPr>
                <w:rFonts w:ascii="宋体" w:hAnsi="宋体" w:eastAsia="宋体"/>
                <w:b w:val="0"/>
                <w:color w:val="000000"/>
                <w:sz w:val="20"/>
              </w:rPr>
              <w:t>64.68±16.96</w:t>
            </w:r>
          </w:p>
        </w:tc>
        <w:tc>
          <w:tcPr>
            <w:tcW w:type="dxa" w:w="1308"/>
          </w:tcPr>
          <w:p>
            <w:pPr>
              <w:jc w:val="center"/>
            </w:pPr>
            <w:r/>
            <w:r>
              <w:rPr>
                <w:rFonts w:ascii="宋体" w:hAnsi="宋体" w:eastAsia="宋体"/>
                <w:b w:val="0"/>
                <w:color w:val="000000"/>
                <w:sz w:val="20"/>
              </w:rPr>
              <w:t>22.87±23.91</w:t>
            </w:r>
          </w:p>
        </w:tc>
        <w:tc>
          <w:tcPr>
            <w:tcW w:type="dxa" w:w="1308"/>
          </w:tcPr>
          <w:p>
            <w:pPr>
              <w:jc w:val="center"/>
            </w:pPr>
            <w:r/>
            <w:r>
              <w:rPr>
                <w:rFonts w:ascii="宋体" w:hAnsi="宋体" w:eastAsia="宋体"/>
                <w:b w:val="0"/>
                <w:color w:val="000000"/>
                <w:sz w:val="20"/>
              </w:rPr>
              <w:t>12.58±22.76</w:t>
            </w:r>
          </w:p>
        </w:tc>
      </w:tr>
      <w:tr>
        <w:tc>
          <w:tcPr>
            <w:tcW w:type="dxa" w:w="1308"/>
          </w:tcPr>
          <w:p>
            <w:pPr>
              <w:jc w:val="center"/>
            </w:pPr>
            <w:r/>
            <w:r>
              <w:rPr>
                <w:rFonts w:ascii="宋体" w:hAnsi="宋体" w:eastAsia="宋体"/>
                <w:b w:val="0"/>
                <w:color w:val="000000"/>
                <w:sz w:val="20"/>
              </w:rPr>
              <w:t>OA (%)</w:t>
            </w:r>
          </w:p>
        </w:tc>
        <w:tc>
          <w:tcPr>
            <w:tcW w:type="dxa" w:w="1308"/>
          </w:tcPr>
          <w:p>
            <w:pPr>
              <w:jc w:val="center"/>
            </w:pPr>
            <w:r/>
            <w:r>
              <w:rPr>
                <w:rFonts w:ascii="宋体" w:hAnsi="宋体" w:eastAsia="宋体"/>
                <w:b w:val="0"/>
                <w:color w:val="000000"/>
                <w:sz w:val="20"/>
              </w:rPr>
              <w:t>81.78±0.16</w:t>
            </w:r>
          </w:p>
        </w:tc>
        <w:tc>
          <w:tcPr>
            <w:tcW w:type="dxa" w:w="1308"/>
          </w:tcPr>
          <w:p>
            <w:pPr>
              <w:jc w:val="center"/>
            </w:pPr>
            <w:r/>
            <w:r>
              <w:rPr>
                <w:rFonts w:ascii="宋体" w:hAnsi="宋体" w:eastAsia="宋体"/>
                <w:b w:val="0"/>
                <w:color w:val="000000"/>
                <w:sz w:val="20"/>
              </w:rPr>
              <w:t>77.61±0.97</w:t>
            </w:r>
          </w:p>
        </w:tc>
        <w:tc>
          <w:tcPr>
            <w:tcW w:type="dxa" w:w="1308"/>
          </w:tcPr>
          <w:p>
            <w:pPr>
              <w:jc w:val="center"/>
            </w:pPr>
            <w:r/>
            <w:r>
              <w:rPr>
                <w:rFonts w:ascii="宋体" w:hAnsi="宋体" w:eastAsia="宋体"/>
                <w:b w:val="0"/>
                <w:color w:val="000000"/>
                <w:sz w:val="20"/>
              </w:rPr>
              <w:t>79.82±3.05</w:t>
            </w:r>
          </w:p>
        </w:tc>
        <w:tc>
          <w:tcPr>
            <w:tcW w:type="dxa" w:w="1308"/>
          </w:tcPr>
          <w:p>
            <w:pPr>
              <w:jc w:val="center"/>
            </w:pPr>
            <w:r/>
            <w:r>
              <w:rPr>
                <w:rFonts w:ascii="宋体" w:hAnsi="宋体" w:eastAsia="宋体"/>
                <w:b w:val="0"/>
                <w:color w:val="000000"/>
                <w:sz w:val="20"/>
              </w:rPr>
              <w:t>81.42±1.36</w:t>
            </w:r>
          </w:p>
        </w:tc>
        <w:tc>
          <w:tcPr>
            <w:tcW w:type="dxa" w:w="1308"/>
          </w:tcPr>
          <w:p>
            <w:pPr>
              <w:jc w:val="center"/>
            </w:pPr>
            <w:r/>
            <w:r>
              <w:rPr>
                <w:rFonts w:ascii="宋体" w:hAnsi="宋体" w:eastAsia="宋体"/>
                <w:b w:val="0"/>
                <w:color w:val="000000"/>
                <w:sz w:val="20"/>
              </w:rPr>
              <w:t>81.30±0.74</w:t>
            </w:r>
          </w:p>
        </w:tc>
        <w:tc>
          <w:tcPr>
            <w:tcW w:type="dxa" w:w="1308"/>
          </w:tcPr>
          <w:p>
            <w:pPr>
              <w:jc w:val="center"/>
            </w:pPr>
            <w:r/>
            <w:r>
              <w:rPr>
                <w:rFonts w:ascii="宋体" w:hAnsi="宋体" w:eastAsia="宋体"/>
                <w:b w:val="0"/>
                <w:color w:val="000000"/>
                <w:sz w:val="20"/>
              </w:rPr>
              <w:t>78.10±3.71</w:t>
            </w:r>
          </w:p>
        </w:tc>
        <w:tc>
          <w:tcPr>
            <w:tcW w:type="dxa" w:w="1308"/>
          </w:tcPr>
          <w:p>
            <w:pPr>
              <w:jc w:val="center"/>
            </w:pPr>
            <w:r/>
            <w:r>
              <w:rPr>
                <w:rFonts w:ascii="宋体" w:hAnsi="宋体" w:eastAsia="宋体"/>
                <w:b w:val="0"/>
                <w:color w:val="000000"/>
                <w:sz w:val="20"/>
              </w:rPr>
              <w:t>83.48±0.50</w:t>
            </w:r>
          </w:p>
        </w:tc>
      </w:tr>
      <w:tr>
        <w:tc>
          <w:tcPr>
            <w:tcW w:type="dxa" w:w="1308"/>
          </w:tcPr>
          <w:p>
            <w:pPr>
              <w:jc w:val="center"/>
            </w:pPr>
            <w:r/>
            <w:r>
              <w:rPr>
                <w:rFonts w:ascii="宋体" w:hAnsi="宋体" w:eastAsia="宋体"/>
                <w:b w:val="0"/>
                <w:color w:val="000000"/>
                <w:sz w:val="20"/>
              </w:rPr>
              <w:t>AA (%)</w:t>
            </w:r>
          </w:p>
        </w:tc>
        <w:tc>
          <w:tcPr>
            <w:tcW w:type="dxa" w:w="1308"/>
          </w:tcPr>
          <w:p>
            <w:pPr>
              <w:jc w:val="center"/>
            </w:pPr>
            <w:r/>
            <w:r>
              <w:rPr>
                <w:rFonts w:ascii="宋体" w:hAnsi="宋体" w:eastAsia="宋体"/>
                <w:b w:val="0"/>
                <w:color w:val="000000"/>
                <w:sz w:val="20"/>
              </w:rPr>
              <w:t>61.81±2.98</w:t>
            </w:r>
          </w:p>
        </w:tc>
        <w:tc>
          <w:tcPr>
            <w:tcW w:type="dxa" w:w="1308"/>
          </w:tcPr>
          <w:p>
            <w:pPr>
              <w:jc w:val="center"/>
            </w:pPr>
            <w:r/>
            <w:r>
              <w:rPr>
                <w:rFonts w:ascii="宋体" w:hAnsi="宋体" w:eastAsia="宋体"/>
                <w:b w:val="0"/>
                <w:color w:val="000000"/>
                <w:sz w:val="20"/>
              </w:rPr>
              <w:t>50.74±2.88</w:t>
            </w:r>
          </w:p>
        </w:tc>
        <w:tc>
          <w:tcPr>
            <w:tcW w:type="dxa" w:w="1308"/>
          </w:tcPr>
          <w:p>
            <w:pPr>
              <w:jc w:val="center"/>
            </w:pPr>
            <w:r/>
            <w:r>
              <w:rPr>
                <w:rFonts w:ascii="宋体" w:hAnsi="宋体" w:eastAsia="宋体"/>
                <w:b w:val="0"/>
                <w:color w:val="000000"/>
                <w:sz w:val="20"/>
              </w:rPr>
              <w:t>53.68±8.14</w:t>
            </w:r>
          </w:p>
        </w:tc>
        <w:tc>
          <w:tcPr>
            <w:tcW w:type="dxa" w:w="1308"/>
          </w:tcPr>
          <w:p>
            <w:pPr>
              <w:jc w:val="center"/>
            </w:pPr>
            <w:r/>
            <w:r>
              <w:rPr>
                <w:rFonts w:ascii="宋体" w:hAnsi="宋体" w:eastAsia="宋体"/>
                <w:b w:val="0"/>
                <w:color w:val="000000"/>
                <w:sz w:val="20"/>
              </w:rPr>
              <w:t>56.24±2.47</w:t>
            </w:r>
          </w:p>
        </w:tc>
        <w:tc>
          <w:tcPr>
            <w:tcW w:type="dxa" w:w="1308"/>
          </w:tcPr>
          <w:p>
            <w:pPr>
              <w:jc w:val="center"/>
            </w:pPr>
            <w:r/>
            <w:r>
              <w:rPr>
                <w:rFonts w:ascii="宋体" w:hAnsi="宋体" w:eastAsia="宋体"/>
                <w:b w:val="0"/>
                <w:color w:val="000000"/>
                <w:sz w:val="20"/>
              </w:rPr>
              <w:t>62.22±3.00</w:t>
            </w:r>
          </w:p>
        </w:tc>
        <w:tc>
          <w:tcPr>
            <w:tcW w:type="dxa" w:w="1308"/>
          </w:tcPr>
          <w:p>
            <w:pPr>
              <w:jc w:val="center"/>
            </w:pPr>
            <w:r/>
            <w:r>
              <w:rPr>
                <w:rFonts w:ascii="宋体" w:hAnsi="宋体" w:eastAsia="宋体"/>
                <w:b w:val="0"/>
                <w:color w:val="000000"/>
                <w:sz w:val="20"/>
              </w:rPr>
              <w:t>55.79±4.67</w:t>
            </w:r>
          </w:p>
        </w:tc>
        <w:tc>
          <w:tcPr>
            <w:tcW w:type="dxa" w:w="1308"/>
          </w:tcPr>
          <w:p>
            <w:pPr>
              <w:jc w:val="center"/>
            </w:pPr>
            <w:r/>
            <w:r>
              <w:rPr>
                <w:rFonts w:ascii="宋体" w:hAnsi="宋体" w:eastAsia="宋体"/>
                <w:b w:val="0"/>
                <w:color w:val="000000"/>
                <w:sz w:val="20"/>
              </w:rPr>
              <w:t>58.44±2.85</w:t>
            </w:r>
          </w:p>
        </w:tc>
      </w:tr>
      <w:tr>
        <w:tc>
          <w:tcPr>
            <w:tcW w:type="dxa" w:w="1308"/>
          </w:tcPr>
          <w:p>
            <w:pPr>
              <w:jc w:val="center"/>
            </w:pPr>
            <w:r/>
            <w:r>
              <w:rPr>
                <w:rFonts w:ascii="宋体" w:hAnsi="宋体" w:eastAsia="宋体"/>
                <w:b w:val="0"/>
                <w:color w:val="000000"/>
                <w:sz w:val="20"/>
              </w:rPr>
              <w:t>K×100</w:t>
            </w:r>
          </w:p>
        </w:tc>
        <w:tc>
          <w:tcPr>
            <w:tcW w:type="dxa" w:w="1308"/>
          </w:tcPr>
          <w:p>
            <w:pPr>
              <w:jc w:val="center"/>
            </w:pPr>
            <w:r/>
            <w:r>
              <w:rPr>
                <w:rFonts w:ascii="宋体" w:hAnsi="宋体" w:eastAsia="宋体"/>
                <w:b w:val="0"/>
                <w:color w:val="000000"/>
                <w:sz w:val="20"/>
              </w:rPr>
              <w:t>69.39±0.35</w:t>
            </w:r>
          </w:p>
        </w:tc>
        <w:tc>
          <w:tcPr>
            <w:tcW w:type="dxa" w:w="1308"/>
          </w:tcPr>
          <w:p>
            <w:pPr>
              <w:jc w:val="center"/>
            </w:pPr>
            <w:r/>
            <w:r>
              <w:rPr>
                <w:rFonts w:ascii="宋体" w:hAnsi="宋体" w:eastAsia="宋体"/>
                <w:b w:val="0"/>
                <w:color w:val="000000"/>
                <w:sz w:val="20"/>
              </w:rPr>
              <w:t>62.03±1.81</w:t>
            </w:r>
          </w:p>
        </w:tc>
        <w:tc>
          <w:tcPr>
            <w:tcW w:type="dxa" w:w="1308"/>
          </w:tcPr>
          <w:p>
            <w:pPr>
              <w:jc w:val="center"/>
            </w:pPr>
            <w:r/>
            <w:r>
              <w:rPr>
                <w:rFonts w:ascii="宋体" w:hAnsi="宋体" w:eastAsia="宋体"/>
                <w:b w:val="0"/>
                <w:color w:val="000000"/>
                <w:sz w:val="20"/>
              </w:rPr>
              <w:t>65.56±7.32</w:t>
            </w:r>
          </w:p>
        </w:tc>
        <w:tc>
          <w:tcPr>
            <w:tcW w:type="dxa" w:w="1308"/>
          </w:tcPr>
          <w:p>
            <w:pPr>
              <w:jc w:val="center"/>
            </w:pPr>
            <w:r/>
            <w:r>
              <w:rPr>
                <w:rFonts w:ascii="宋体" w:hAnsi="宋体" w:eastAsia="宋体"/>
                <w:b w:val="0"/>
                <w:color w:val="000000"/>
                <w:sz w:val="20"/>
              </w:rPr>
              <w:t>69.54±1.83</w:t>
            </w:r>
          </w:p>
        </w:tc>
        <w:tc>
          <w:tcPr>
            <w:tcW w:type="dxa" w:w="1308"/>
          </w:tcPr>
          <w:p>
            <w:pPr>
              <w:jc w:val="center"/>
            </w:pPr>
            <w:r/>
            <w:r>
              <w:rPr>
                <w:rFonts w:ascii="宋体" w:hAnsi="宋体" w:eastAsia="宋体"/>
                <w:b w:val="0"/>
                <w:color w:val="000000"/>
                <w:sz w:val="20"/>
              </w:rPr>
              <w:t>69.18±1.18</w:t>
            </w:r>
          </w:p>
        </w:tc>
        <w:tc>
          <w:tcPr>
            <w:tcW w:type="dxa" w:w="1308"/>
          </w:tcPr>
          <w:p>
            <w:pPr>
              <w:jc w:val="center"/>
            </w:pPr>
            <w:r/>
            <w:r>
              <w:rPr>
                <w:rFonts w:ascii="宋体" w:hAnsi="宋体" w:eastAsia="宋体"/>
                <w:b w:val="0"/>
                <w:color w:val="000000"/>
                <w:sz w:val="20"/>
              </w:rPr>
              <w:t>65.06±3.93</w:t>
            </w:r>
          </w:p>
        </w:tc>
        <w:tc>
          <w:tcPr>
            <w:tcW w:type="dxa" w:w="1308"/>
          </w:tcPr>
          <w:p>
            <w:pPr>
              <w:jc w:val="center"/>
            </w:pPr>
            <w:r/>
            <w:r>
              <w:rPr>
                <w:rFonts w:ascii="宋体" w:hAnsi="宋体" w:eastAsia="宋体"/>
                <w:b w:val="0"/>
                <w:color w:val="000000"/>
                <w:sz w:val="20"/>
              </w:rPr>
              <w:t>72.81±0.77</w:t>
            </w:r>
          </w:p>
        </w:tc>
      </w:tr>
    </w:tbl>
    <w:p>
      <w:pPr>
        <w:spacing w:after="120"/>
        <w:ind w:firstLine="0"/>
        <w:jc w:val="center"/>
      </w:pPr>
      <w:r>
        <w:rPr>
          <w:rFonts w:ascii="宋体" w:hAnsi="宋体" w:eastAsia="宋体"/>
          <w:b w:val="0"/>
          <w:color w:val="000000"/>
          <w:sz w:val="21"/>
        </w:rPr>
        <w:t>表5-6　不同方法在密西西比大学数据集上的分类结果（平均值±标准差）</w:t>
      </w:r>
    </w:p>
    <w:tbl>
      <w:tblPr>
        <w:tblStyle w:val="af2"/>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c>
          <w:tcPr>
            <w:tcW w:type="dxa" w:w="1308"/>
          </w:tcPr>
          <w:p>
            <w:pPr>
              <w:jc w:val="center"/>
            </w:pPr>
            <w:r/>
            <w:r>
              <w:rPr>
                <w:rFonts w:ascii="宋体" w:hAnsi="宋体" w:eastAsia="宋体"/>
                <w:b/>
                <w:color w:val="000000"/>
                <w:sz w:val="20"/>
              </w:rPr>
              <w:t>类别</w:t>
            </w:r>
          </w:p>
        </w:tc>
        <w:tc>
          <w:tcPr>
            <w:tcW w:type="dxa" w:w="1308"/>
          </w:tcPr>
          <w:p>
            <w:pPr>
              <w:jc w:val="center"/>
            </w:pPr>
            <w:r/>
            <w:r>
              <w:rPr>
                <w:rFonts w:ascii="宋体" w:hAnsi="宋体" w:eastAsia="宋体"/>
                <w:b/>
                <w:color w:val="000000"/>
                <w:sz w:val="20"/>
              </w:rPr>
              <w:t>MFT</w:t>
            </w:r>
          </w:p>
        </w:tc>
        <w:tc>
          <w:tcPr>
            <w:tcW w:type="dxa" w:w="1308"/>
          </w:tcPr>
          <w:p>
            <w:pPr>
              <w:jc w:val="center"/>
            </w:pPr>
            <w:r/>
            <w:r>
              <w:rPr>
                <w:rFonts w:ascii="宋体" w:hAnsi="宋体" w:eastAsia="宋体"/>
                <w:b/>
                <w:color w:val="000000"/>
                <w:sz w:val="20"/>
              </w:rPr>
              <w:t>CCRNet</w:t>
            </w:r>
          </w:p>
        </w:tc>
        <w:tc>
          <w:tcPr>
            <w:tcW w:type="dxa" w:w="1308"/>
          </w:tcPr>
          <w:p>
            <w:pPr>
              <w:jc w:val="center"/>
            </w:pPr>
            <w:r/>
            <w:r>
              <w:rPr>
                <w:rFonts w:ascii="宋体" w:hAnsi="宋体" w:eastAsia="宋体"/>
                <w:b/>
                <w:color w:val="000000"/>
                <w:sz w:val="20"/>
              </w:rPr>
              <w:t>ExViT</w:t>
            </w:r>
          </w:p>
        </w:tc>
        <w:tc>
          <w:tcPr>
            <w:tcW w:type="dxa" w:w="1308"/>
          </w:tcPr>
          <w:p>
            <w:pPr>
              <w:jc w:val="center"/>
            </w:pPr>
            <w:r/>
            <w:r>
              <w:rPr>
                <w:rFonts w:ascii="宋体" w:hAnsi="宋体" w:eastAsia="宋体"/>
                <w:b/>
                <w:color w:val="000000"/>
                <w:sz w:val="20"/>
              </w:rPr>
              <w:t>NCGLF2</w:t>
            </w:r>
          </w:p>
        </w:tc>
        <w:tc>
          <w:tcPr>
            <w:tcW w:type="dxa" w:w="1308"/>
          </w:tcPr>
          <w:p>
            <w:pPr>
              <w:jc w:val="center"/>
            </w:pPr>
            <w:r/>
            <w:r>
              <w:rPr>
                <w:rFonts w:ascii="宋体" w:hAnsi="宋体" w:eastAsia="宋体"/>
                <w:b/>
                <w:color w:val="000000"/>
                <w:sz w:val="20"/>
              </w:rPr>
              <w:t>FrIT</w:t>
            </w:r>
          </w:p>
        </w:tc>
        <w:tc>
          <w:tcPr>
            <w:tcW w:type="dxa" w:w="1308"/>
          </w:tcPr>
          <w:p>
            <w:pPr>
              <w:jc w:val="center"/>
            </w:pPr>
            <w:r/>
            <w:r>
              <w:rPr>
                <w:rFonts w:ascii="宋体" w:hAnsi="宋体" w:eastAsia="宋体"/>
                <w:b/>
                <w:color w:val="000000"/>
                <w:sz w:val="20"/>
              </w:rPr>
              <w:t>S2CrossMamba</w:t>
            </w:r>
          </w:p>
        </w:tc>
        <w:tc>
          <w:tcPr>
            <w:tcW w:type="dxa" w:w="1308"/>
          </w:tcPr>
          <w:p>
            <w:pPr>
              <w:jc w:val="center"/>
            </w:pPr>
            <w:r/>
            <w:r>
              <w:rPr>
                <w:rFonts w:ascii="宋体" w:hAnsi="宋体" w:eastAsia="宋体"/>
                <w:b/>
                <w:color w:val="000000"/>
                <w:sz w:val="20"/>
              </w:rPr>
              <w:t>SC-MSS-MTr</w:t>
            </w:r>
          </w:p>
        </w:tc>
      </w:tr>
      <w:tr>
        <w:tc>
          <w:tcPr>
            <w:tcW w:type="dxa" w:w="1308"/>
          </w:tcPr>
          <w:p>
            <w:pPr>
              <w:jc w:val="center"/>
            </w:pPr>
            <w:r/>
            <w:r>
              <w:rPr>
                <w:rFonts w:ascii="宋体" w:hAnsi="宋体" w:eastAsia="宋体"/>
                <w:b w:val="0"/>
                <w:color w:val="000000"/>
                <w:sz w:val="20"/>
              </w:rPr>
              <w:t>树木</w:t>
            </w:r>
          </w:p>
        </w:tc>
        <w:tc>
          <w:tcPr>
            <w:tcW w:type="dxa" w:w="1308"/>
          </w:tcPr>
          <w:p>
            <w:pPr>
              <w:jc w:val="center"/>
            </w:pPr>
            <w:r/>
            <w:r>
              <w:rPr>
                <w:rFonts w:ascii="宋体" w:hAnsi="宋体" w:eastAsia="宋体"/>
                <w:b w:val="0"/>
                <w:color w:val="000000"/>
                <w:sz w:val="20"/>
              </w:rPr>
              <w:t>95.91±1.66</w:t>
            </w:r>
          </w:p>
        </w:tc>
        <w:tc>
          <w:tcPr>
            <w:tcW w:type="dxa" w:w="1308"/>
          </w:tcPr>
          <w:p>
            <w:pPr>
              <w:jc w:val="center"/>
            </w:pPr>
            <w:r/>
            <w:r>
              <w:rPr>
                <w:rFonts w:ascii="宋体" w:hAnsi="宋体" w:eastAsia="宋体"/>
                <w:b w:val="0"/>
                <w:color w:val="000000"/>
                <w:sz w:val="20"/>
              </w:rPr>
              <w:t>95.35±0.05</w:t>
            </w:r>
          </w:p>
        </w:tc>
        <w:tc>
          <w:tcPr>
            <w:tcW w:type="dxa" w:w="1308"/>
          </w:tcPr>
          <w:p>
            <w:pPr>
              <w:jc w:val="center"/>
            </w:pPr>
            <w:r/>
            <w:r>
              <w:rPr>
                <w:rFonts w:ascii="宋体" w:hAnsi="宋体" w:eastAsia="宋体"/>
                <w:b w:val="0"/>
                <w:color w:val="000000"/>
                <w:sz w:val="20"/>
              </w:rPr>
              <w:t>95.70±1.36</w:t>
            </w:r>
          </w:p>
        </w:tc>
        <w:tc>
          <w:tcPr>
            <w:tcW w:type="dxa" w:w="1308"/>
          </w:tcPr>
          <w:p>
            <w:pPr>
              <w:jc w:val="center"/>
            </w:pPr>
            <w:r/>
            <w:r>
              <w:rPr>
                <w:rFonts w:ascii="宋体" w:hAnsi="宋体" w:eastAsia="宋体"/>
                <w:b w:val="0"/>
                <w:color w:val="000000"/>
                <w:sz w:val="20"/>
              </w:rPr>
              <w:t>93.21±2.42</w:t>
            </w:r>
          </w:p>
        </w:tc>
        <w:tc>
          <w:tcPr>
            <w:tcW w:type="dxa" w:w="1308"/>
          </w:tcPr>
          <w:p>
            <w:pPr>
              <w:jc w:val="center"/>
            </w:pPr>
            <w:r/>
            <w:r>
              <w:rPr>
                <w:rFonts w:ascii="宋体" w:hAnsi="宋体" w:eastAsia="宋体"/>
                <w:b w:val="0"/>
                <w:color w:val="000000"/>
                <w:sz w:val="20"/>
              </w:rPr>
              <w:t>96.18±1.92</w:t>
            </w:r>
          </w:p>
        </w:tc>
        <w:tc>
          <w:tcPr>
            <w:tcW w:type="dxa" w:w="1308"/>
          </w:tcPr>
          <w:p>
            <w:pPr>
              <w:jc w:val="center"/>
            </w:pPr>
            <w:r/>
            <w:r>
              <w:rPr>
                <w:rFonts w:ascii="宋体" w:hAnsi="宋体" w:eastAsia="宋体"/>
                <w:b w:val="0"/>
                <w:color w:val="000000"/>
                <w:sz w:val="20"/>
              </w:rPr>
              <w:t>94.61±1.44</w:t>
            </w:r>
          </w:p>
        </w:tc>
        <w:tc>
          <w:tcPr>
            <w:tcW w:type="dxa" w:w="1308"/>
          </w:tcPr>
          <w:p>
            <w:pPr>
              <w:jc w:val="center"/>
            </w:pPr>
            <w:r/>
            <w:r>
              <w:rPr>
                <w:rFonts w:ascii="宋体" w:hAnsi="宋体" w:eastAsia="宋体"/>
                <w:b w:val="0"/>
                <w:color w:val="000000"/>
                <w:sz w:val="20"/>
              </w:rPr>
              <w:t>95.63±0.52</w:t>
            </w:r>
          </w:p>
        </w:tc>
      </w:tr>
      <w:tr>
        <w:tc>
          <w:tcPr>
            <w:tcW w:type="dxa" w:w="1308"/>
          </w:tcPr>
          <w:p>
            <w:pPr>
              <w:jc w:val="center"/>
            </w:pPr>
            <w:r/>
            <w:r>
              <w:rPr>
                <w:rFonts w:ascii="宋体" w:hAnsi="宋体" w:eastAsia="宋体"/>
                <w:b w:val="0"/>
                <w:color w:val="000000"/>
                <w:sz w:val="20"/>
              </w:rPr>
              <w:t>草地</w:t>
            </w:r>
          </w:p>
        </w:tc>
        <w:tc>
          <w:tcPr>
            <w:tcW w:type="dxa" w:w="1308"/>
          </w:tcPr>
          <w:p>
            <w:pPr>
              <w:jc w:val="center"/>
            </w:pPr>
            <w:r/>
            <w:r>
              <w:rPr>
                <w:rFonts w:ascii="宋体" w:hAnsi="宋体" w:eastAsia="宋体"/>
                <w:b w:val="0"/>
                <w:color w:val="000000"/>
                <w:sz w:val="20"/>
              </w:rPr>
              <w:t>66.38±12.95</w:t>
            </w:r>
          </w:p>
        </w:tc>
        <w:tc>
          <w:tcPr>
            <w:tcW w:type="dxa" w:w="1308"/>
          </w:tcPr>
          <w:p>
            <w:pPr>
              <w:jc w:val="center"/>
            </w:pPr>
            <w:r/>
            <w:r>
              <w:rPr>
                <w:rFonts w:ascii="宋体" w:hAnsi="宋体" w:eastAsia="宋体"/>
                <w:b w:val="0"/>
                <w:color w:val="000000"/>
                <w:sz w:val="20"/>
              </w:rPr>
              <w:t>64.78±4.15</w:t>
            </w:r>
          </w:p>
        </w:tc>
        <w:tc>
          <w:tcPr>
            <w:tcW w:type="dxa" w:w="1308"/>
          </w:tcPr>
          <w:p>
            <w:pPr>
              <w:jc w:val="center"/>
            </w:pPr>
            <w:r/>
            <w:r>
              <w:rPr>
                <w:rFonts w:ascii="宋体" w:hAnsi="宋体" w:eastAsia="宋体"/>
                <w:b w:val="0"/>
                <w:color w:val="000000"/>
                <w:sz w:val="20"/>
              </w:rPr>
              <w:t>66.47±8.37</w:t>
            </w:r>
          </w:p>
        </w:tc>
        <w:tc>
          <w:tcPr>
            <w:tcW w:type="dxa" w:w="1308"/>
          </w:tcPr>
          <w:p>
            <w:pPr>
              <w:jc w:val="center"/>
            </w:pPr>
            <w:r/>
            <w:r>
              <w:rPr>
                <w:rFonts w:ascii="宋体" w:hAnsi="宋体" w:eastAsia="宋体"/>
                <w:b w:val="0"/>
                <w:color w:val="000000"/>
                <w:sz w:val="20"/>
              </w:rPr>
              <w:t>73.25±13.32</w:t>
            </w:r>
          </w:p>
        </w:tc>
        <w:tc>
          <w:tcPr>
            <w:tcW w:type="dxa" w:w="1308"/>
          </w:tcPr>
          <w:p>
            <w:pPr>
              <w:jc w:val="center"/>
            </w:pPr>
            <w:r/>
            <w:r>
              <w:rPr>
                <w:rFonts w:ascii="宋体" w:hAnsi="宋体" w:eastAsia="宋体"/>
                <w:b w:val="0"/>
                <w:color w:val="000000"/>
                <w:sz w:val="20"/>
              </w:rPr>
              <w:t>73.34±7.92</w:t>
            </w:r>
          </w:p>
        </w:tc>
        <w:tc>
          <w:tcPr>
            <w:tcW w:type="dxa" w:w="1308"/>
          </w:tcPr>
          <w:p>
            <w:pPr>
              <w:jc w:val="center"/>
            </w:pPr>
            <w:r/>
            <w:r>
              <w:rPr>
                <w:rFonts w:ascii="宋体" w:hAnsi="宋体" w:eastAsia="宋体"/>
                <w:b w:val="0"/>
                <w:color w:val="000000"/>
                <w:sz w:val="20"/>
              </w:rPr>
              <w:t>79.24±7.44</w:t>
            </w:r>
          </w:p>
        </w:tc>
        <w:tc>
          <w:tcPr>
            <w:tcW w:type="dxa" w:w="1308"/>
          </w:tcPr>
          <w:p>
            <w:pPr>
              <w:jc w:val="center"/>
            </w:pPr>
            <w:r/>
            <w:r>
              <w:rPr>
                <w:rFonts w:ascii="宋体" w:hAnsi="宋体" w:eastAsia="宋体"/>
                <w:b w:val="0"/>
                <w:color w:val="000000"/>
                <w:sz w:val="20"/>
              </w:rPr>
              <w:t>72.24±4.95</w:t>
            </w:r>
          </w:p>
        </w:tc>
      </w:tr>
      <w:tr>
        <w:tc>
          <w:tcPr>
            <w:tcW w:type="dxa" w:w="1308"/>
          </w:tcPr>
          <w:p>
            <w:pPr>
              <w:jc w:val="center"/>
            </w:pPr>
            <w:r/>
            <w:r>
              <w:rPr>
                <w:rFonts w:ascii="宋体" w:hAnsi="宋体" w:eastAsia="宋体"/>
                <w:b w:val="0"/>
                <w:color w:val="000000"/>
                <w:sz w:val="20"/>
              </w:rPr>
              <w:t>混合地表</w:t>
            </w:r>
          </w:p>
        </w:tc>
        <w:tc>
          <w:tcPr>
            <w:tcW w:type="dxa" w:w="1308"/>
          </w:tcPr>
          <w:p>
            <w:pPr>
              <w:jc w:val="center"/>
            </w:pPr>
            <w:r/>
            <w:r>
              <w:rPr>
                <w:rFonts w:ascii="宋体" w:hAnsi="宋体" w:eastAsia="宋体"/>
                <w:b w:val="0"/>
                <w:color w:val="000000"/>
                <w:sz w:val="20"/>
              </w:rPr>
              <w:t>76.40±9.62</w:t>
            </w:r>
          </w:p>
        </w:tc>
        <w:tc>
          <w:tcPr>
            <w:tcW w:type="dxa" w:w="1308"/>
          </w:tcPr>
          <w:p>
            <w:pPr>
              <w:jc w:val="center"/>
            </w:pPr>
            <w:r/>
            <w:r>
              <w:rPr>
                <w:rFonts w:ascii="宋体" w:hAnsi="宋体" w:eastAsia="宋体"/>
                <w:b w:val="0"/>
                <w:color w:val="000000"/>
                <w:sz w:val="20"/>
              </w:rPr>
              <w:t>75.90±0.56</w:t>
            </w:r>
          </w:p>
        </w:tc>
        <w:tc>
          <w:tcPr>
            <w:tcW w:type="dxa" w:w="1308"/>
          </w:tcPr>
          <w:p>
            <w:pPr>
              <w:jc w:val="center"/>
            </w:pPr>
            <w:r/>
            <w:r>
              <w:rPr>
                <w:rFonts w:ascii="宋体" w:hAnsi="宋体" w:eastAsia="宋体"/>
                <w:b w:val="0"/>
                <w:color w:val="000000"/>
                <w:sz w:val="20"/>
              </w:rPr>
              <w:t>71.73±12.16</w:t>
            </w:r>
          </w:p>
        </w:tc>
        <w:tc>
          <w:tcPr>
            <w:tcW w:type="dxa" w:w="1308"/>
          </w:tcPr>
          <w:p>
            <w:pPr>
              <w:jc w:val="center"/>
            </w:pPr>
            <w:r/>
            <w:r>
              <w:rPr>
                <w:rFonts w:ascii="宋体" w:hAnsi="宋体" w:eastAsia="宋体"/>
                <w:b w:val="0"/>
                <w:color w:val="000000"/>
                <w:sz w:val="20"/>
              </w:rPr>
              <w:t>70.56±9.83</w:t>
            </w:r>
          </w:p>
        </w:tc>
        <w:tc>
          <w:tcPr>
            <w:tcW w:type="dxa" w:w="1308"/>
          </w:tcPr>
          <w:p>
            <w:pPr>
              <w:jc w:val="center"/>
            </w:pPr>
            <w:r/>
            <w:r>
              <w:rPr>
                <w:rFonts w:ascii="宋体" w:hAnsi="宋体" w:eastAsia="宋体"/>
                <w:b w:val="0"/>
                <w:color w:val="000000"/>
                <w:sz w:val="20"/>
              </w:rPr>
              <w:t>74.66±2.47</w:t>
            </w:r>
          </w:p>
        </w:tc>
        <w:tc>
          <w:tcPr>
            <w:tcW w:type="dxa" w:w="1308"/>
          </w:tcPr>
          <w:p>
            <w:pPr>
              <w:jc w:val="center"/>
            </w:pPr>
            <w:r/>
            <w:r>
              <w:rPr>
                <w:rFonts w:ascii="宋体" w:hAnsi="宋体" w:eastAsia="宋体"/>
                <w:b w:val="0"/>
                <w:color w:val="000000"/>
                <w:sz w:val="20"/>
              </w:rPr>
              <w:t>69.46±10.15</w:t>
            </w:r>
          </w:p>
        </w:tc>
        <w:tc>
          <w:tcPr>
            <w:tcW w:type="dxa" w:w="1308"/>
          </w:tcPr>
          <w:p>
            <w:pPr>
              <w:jc w:val="center"/>
            </w:pPr>
            <w:r/>
            <w:r>
              <w:rPr>
                <w:rFonts w:ascii="宋体" w:hAnsi="宋体" w:eastAsia="宋体"/>
                <w:b w:val="0"/>
                <w:color w:val="000000"/>
                <w:sz w:val="20"/>
              </w:rPr>
              <w:t>79.05±5.96</w:t>
            </w:r>
          </w:p>
        </w:tc>
      </w:tr>
      <w:tr>
        <w:tc>
          <w:tcPr>
            <w:tcW w:type="dxa" w:w="1308"/>
          </w:tcPr>
          <w:p>
            <w:pPr>
              <w:jc w:val="center"/>
            </w:pPr>
            <w:r/>
            <w:r>
              <w:rPr>
                <w:rFonts w:ascii="宋体" w:hAnsi="宋体" w:eastAsia="宋体"/>
                <w:b w:val="0"/>
                <w:color w:val="000000"/>
                <w:sz w:val="20"/>
              </w:rPr>
              <w:t>裸土和沙地</w:t>
            </w:r>
          </w:p>
        </w:tc>
        <w:tc>
          <w:tcPr>
            <w:tcW w:type="dxa" w:w="1308"/>
          </w:tcPr>
          <w:p>
            <w:pPr>
              <w:jc w:val="center"/>
            </w:pPr>
            <w:r/>
            <w:r>
              <w:rPr>
                <w:rFonts w:ascii="宋体" w:hAnsi="宋体" w:eastAsia="宋体"/>
                <w:b w:val="0"/>
                <w:color w:val="000000"/>
                <w:sz w:val="20"/>
              </w:rPr>
              <w:t>43.01±18.54</w:t>
            </w:r>
          </w:p>
        </w:tc>
        <w:tc>
          <w:tcPr>
            <w:tcW w:type="dxa" w:w="1308"/>
          </w:tcPr>
          <w:p>
            <w:pPr>
              <w:jc w:val="center"/>
            </w:pPr>
            <w:r/>
            <w:r>
              <w:rPr>
                <w:rFonts w:ascii="宋体" w:hAnsi="宋体" w:eastAsia="宋体"/>
                <w:b w:val="0"/>
                <w:color w:val="000000"/>
                <w:sz w:val="20"/>
              </w:rPr>
              <w:t>57.33±12.97</w:t>
            </w:r>
          </w:p>
        </w:tc>
        <w:tc>
          <w:tcPr>
            <w:tcW w:type="dxa" w:w="1308"/>
          </w:tcPr>
          <w:p>
            <w:pPr>
              <w:jc w:val="center"/>
            </w:pPr>
            <w:r/>
            <w:r>
              <w:rPr>
                <w:rFonts w:ascii="宋体" w:hAnsi="宋体" w:eastAsia="宋体"/>
                <w:b w:val="0"/>
                <w:color w:val="000000"/>
                <w:sz w:val="20"/>
              </w:rPr>
              <w:t>41.70±8.56</w:t>
            </w:r>
          </w:p>
        </w:tc>
        <w:tc>
          <w:tcPr>
            <w:tcW w:type="dxa" w:w="1308"/>
          </w:tcPr>
          <w:p>
            <w:pPr>
              <w:jc w:val="center"/>
            </w:pPr>
            <w:r/>
            <w:r>
              <w:rPr>
                <w:rFonts w:ascii="宋体" w:hAnsi="宋体" w:eastAsia="宋体"/>
                <w:b w:val="0"/>
                <w:color w:val="000000"/>
                <w:sz w:val="20"/>
              </w:rPr>
              <w:t>55.23±27.51</w:t>
            </w:r>
          </w:p>
        </w:tc>
        <w:tc>
          <w:tcPr>
            <w:tcW w:type="dxa" w:w="1308"/>
          </w:tcPr>
          <w:p>
            <w:pPr>
              <w:jc w:val="center"/>
            </w:pPr>
            <w:r/>
            <w:r>
              <w:rPr>
                <w:rFonts w:ascii="宋体" w:hAnsi="宋体" w:eastAsia="宋体"/>
                <w:b w:val="0"/>
                <w:color w:val="000000"/>
                <w:sz w:val="20"/>
              </w:rPr>
              <w:t>75.43±9.13</w:t>
            </w:r>
          </w:p>
        </w:tc>
        <w:tc>
          <w:tcPr>
            <w:tcW w:type="dxa" w:w="1308"/>
          </w:tcPr>
          <w:p>
            <w:pPr>
              <w:jc w:val="center"/>
            </w:pPr>
            <w:r/>
            <w:r>
              <w:rPr>
                <w:rFonts w:ascii="宋体" w:hAnsi="宋体" w:eastAsia="宋体"/>
                <w:b w:val="0"/>
                <w:color w:val="000000"/>
                <w:sz w:val="20"/>
              </w:rPr>
              <w:t>58.14±21.77</w:t>
            </w:r>
          </w:p>
        </w:tc>
        <w:tc>
          <w:tcPr>
            <w:tcW w:type="dxa" w:w="1308"/>
          </w:tcPr>
          <w:p>
            <w:pPr>
              <w:jc w:val="center"/>
            </w:pPr>
            <w:r/>
            <w:r>
              <w:rPr>
                <w:rFonts w:ascii="宋体" w:hAnsi="宋体" w:eastAsia="宋体"/>
                <w:b w:val="0"/>
                <w:color w:val="000000"/>
                <w:sz w:val="20"/>
              </w:rPr>
              <w:t>75.12±12.26</w:t>
            </w:r>
          </w:p>
        </w:tc>
      </w:tr>
      <w:tr>
        <w:tc>
          <w:tcPr>
            <w:tcW w:type="dxa" w:w="1308"/>
          </w:tcPr>
          <w:p>
            <w:pPr>
              <w:jc w:val="center"/>
            </w:pPr>
            <w:r/>
            <w:r>
              <w:rPr>
                <w:rFonts w:ascii="宋体" w:hAnsi="宋体" w:eastAsia="宋体"/>
                <w:b w:val="0"/>
                <w:color w:val="000000"/>
                <w:sz w:val="20"/>
              </w:rPr>
              <w:t>公路</w:t>
            </w:r>
          </w:p>
        </w:tc>
        <w:tc>
          <w:tcPr>
            <w:tcW w:type="dxa" w:w="1308"/>
          </w:tcPr>
          <w:p>
            <w:pPr>
              <w:jc w:val="center"/>
            </w:pPr>
            <w:r/>
            <w:r>
              <w:rPr>
                <w:rFonts w:ascii="宋体" w:hAnsi="宋体" w:eastAsia="宋体"/>
                <w:b w:val="0"/>
                <w:color w:val="000000"/>
                <w:sz w:val="20"/>
              </w:rPr>
              <w:t>87.25±2.90</w:t>
            </w:r>
          </w:p>
        </w:tc>
        <w:tc>
          <w:tcPr>
            <w:tcW w:type="dxa" w:w="1308"/>
          </w:tcPr>
          <w:p>
            <w:pPr>
              <w:jc w:val="center"/>
            </w:pPr>
            <w:r/>
            <w:r>
              <w:rPr>
                <w:rFonts w:ascii="宋体" w:hAnsi="宋体" w:eastAsia="宋体"/>
                <w:b w:val="0"/>
                <w:color w:val="000000"/>
                <w:sz w:val="20"/>
              </w:rPr>
              <w:t>83.82±2.52</w:t>
            </w:r>
          </w:p>
        </w:tc>
        <w:tc>
          <w:tcPr>
            <w:tcW w:type="dxa" w:w="1308"/>
          </w:tcPr>
          <w:p>
            <w:pPr>
              <w:jc w:val="center"/>
            </w:pPr>
            <w:r/>
            <w:r>
              <w:rPr>
                <w:rFonts w:ascii="宋体" w:hAnsi="宋体" w:eastAsia="宋体"/>
                <w:b w:val="0"/>
                <w:color w:val="000000"/>
                <w:sz w:val="20"/>
              </w:rPr>
              <w:t>89.77±2.37</w:t>
            </w:r>
          </w:p>
        </w:tc>
        <w:tc>
          <w:tcPr>
            <w:tcW w:type="dxa" w:w="1308"/>
          </w:tcPr>
          <w:p>
            <w:pPr>
              <w:jc w:val="center"/>
            </w:pPr>
            <w:r/>
            <w:r>
              <w:rPr>
                <w:rFonts w:ascii="宋体" w:hAnsi="宋体" w:eastAsia="宋体"/>
                <w:b w:val="0"/>
                <w:color w:val="000000"/>
                <w:sz w:val="20"/>
              </w:rPr>
              <w:t>81.23±8.51</w:t>
            </w:r>
          </w:p>
        </w:tc>
        <w:tc>
          <w:tcPr>
            <w:tcW w:type="dxa" w:w="1308"/>
          </w:tcPr>
          <w:p>
            <w:pPr>
              <w:jc w:val="center"/>
            </w:pPr>
            <w:r/>
            <w:r>
              <w:rPr>
                <w:rFonts w:ascii="宋体" w:hAnsi="宋体" w:eastAsia="宋体"/>
                <w:b w:val="0"/>
                <w:color w:val="000000"/>
                <w:sz w:val="20"/>
              </w:rPr>
              <w:t>84.62±6.76</w:t>
            </w:r>
          </w:p>
        </w:tc>
        <w:tc>
          <w:tcPr>
            <w:tcW w:type="dxa" w:w="1308"/>
          </w:tcPr>
          <w:p>
            <w:pPr>
              <w:jc w:val="center"/>
            </w:pPr>
            <w:r/>
            <w:r>
              <w:rPr>
                <w:rFonts w:ascii="宋体" w:hAnsi="宋体" w:eastAsia="宋体"/>
                <w:b w:val="0"/>
                <w:color w:val="000000"/>
                <w:sz w:val="20"/>
              </w:rPr>
              <w:t>90.78±2.76</w:t>
            </w:r>
          </w:p>
        </w:tc>
        <w:tc>
          <w:tcPr>
            <w:tcW w:type="dxa" w:w="1308"/>
          </w:tcPr>
          <w:p>
            <w:pPr>
              <w:jc w:val="center"/>
            </w:pPr>
            <w:r/>
            <w:r>
              <w:rPr>
                <w:rFonts w:ascii="宋体" w:hAnsi="宋体" w:eastAsia="宋体"/>
                <w:b w:val="0"/>
                <w:color w:val="000000"/>
                <w:sz w:val="20"/>
              </w:rPr>
              <w:t>88.16±3.10</w:t>
            </w:r>
          </w:p>
        </w:tc>
      </w:tr>
      <w:tr>
        <w:tc>
          <w:tcPr>
            <w:tcW w:type="dxa" w:w="1308"/>
          </w:tcPr>
          <w:p>
            <w:pPr>
              <w:jc w:val="center"/>
            </w:pPr>
            <w:r/>
            <w:r>
              <w:rPr>
                <w:rFonts w:ascii="宋体" w:hAnsi="宋体" w:eastAsia="宋体"/>
                <w:b w:val="0"/>
                <w:color w:val="000000"/>
                <w:sz w:val="20"/>
              </w:rPr>
              <w:t>水</w:t>
            </w:r>
          </w:p>
        </w:tc>
        <w:tc>
          <w:tcPr>
            <w:tcW w:type="dxa" w:w="1308"/>
          </w:tcPr>
          <w:p>
            <w:pPr>
              <w:jc w:val="center"/>
            </w:pPr>
            <w:r/>
            <w:r>
              <w:rPr>
                <w:rFonts w:ascii="宋体" w:hAnsi="宋体" w:eastAsia="宋体"/>
                <w:b w:val="0"/>
                <w:color w:val="000000"/>
                <w:sz w:val="20"/>
              </w:rPr>
              <w:t>11.30±14.63</w:t>
            </w:r>
          </w:p>
        </w:tc>
        <w:tc>
          <w:tcPr>
            <w:tcW w:type="dxa" w:w="1308"/>
          </w:tcPr>
          <w:p>
            <w:pPr>
              <w:jc w:val="center"/>
            </w:pPr>
            <w:r/>
            <w:r>
              <w:rPr>
                <w:rFonts w:ascii="宋体" w:hAnsi="宋体" w:eastAsia="宋体"/>
                <w:b w:val="0"/>
                <w:color w:val="000000"/>
                <w:sz w:val="20"/>
              </w:rPr>
              <w:t>55.91±0.26</w:t>
            </w:r>
          </w:p>
        </w:tc>
        <w:tc>
          <w:tcPr>
            <w:tcW w:type="dxa" w:w="1308"/>
          </w:tcPr>
          <w:p>
            <w:pPr>
              <w:jc w:val="center"/>
            </w:pPr>
            <w:r/>
            <w:r>
              <w:rPr>
                <w:rFonts w:ascii="宋体" w:hAnsi="宋体" w:eastAsia="宋体"/>
                <w:b w:val="0"/>
                <w:color w:val="000000"/>
                <w:sz w:val="20"/>
              </w:rPr>
              <w:t>6.78±9.21</w:t>
            </w:r>
          </w:p>
        </w:tc>
        <w:tc>
          <w:tcPr>
            <w:tcW w:type="dxa" w:w="1308"/>
          </w:tcPr>
          <w:p>
            <w:pPr>
              <w:jc w:val="center"/>
            </w:pPr>
            <w:r/>
            <w:r>
              <w:rPr>
                <w:rFonts w:ascii="宋体" w:hAnsi="宋体" w:eastAsia="宋体"/>
                <w:b w:val="0"/>
                <w:color w:val="000000"/>
                <w:sz w:val="20"/>
              </w:rPr>
              <w:t>23.31±38.29</w:t>
            </w:r>
          </w:p>
        </w:tc>
        <w:tc>
          <w:tcPr>
            <w:tcW w:type="dxa" w:w="1308"/>
          </w:tcPr>
          <w:p>
            <w:pPr>
              <w:jc w:val="center"/>
            </w:pPr>
            <w:r/>
            <w:r>
              <w:rPr>
                <w:rFonts w:ascii="宋体" w:hAnsi="宋体" w:eastAsia="宋体"/>
                <w:b w:val="0"/>
                <w:color w:val="000000"/>
                <w:sz w:val="20"/>
              </w:rPr>
              <w:t>7.12±14.23</w:t>
            </w:r>
          </w:p>
        </w:tc>
        <w:tc>
          <w:tcPr>
            <w:tcW w:type="dxa" w:w="1308"/>
          </w:tcPr>
          <w:p>
            <w:pPr>
              <w:jc w:val="center"/>
            </w:pPr>
            <w:r/>
            <w:r>
              <w:rPr>
                <w:rFonts w:ascii="宋体" w:hAnsi="宋体" w:eastAsia="宋体"/>
                <w:b w:val="0"/>
                <w:color w:val="000000"/>
                <w:sz w:val="20"/>
              </w:rPr>
              <w:t>17.58±32.76</w:t>
            </w:r>
          </w:p>
        </w:tc>
        <w:tc>
          <w:tcPr>
            <w:tcW w:type="dxa" w:w="1308"/>
          </w:tcPr>
          <w:p>
            <w:pPr>
              <w:jc w:val="center"/>
            </w:pPr>
            <w:r/>
            <w:r>
              <w:rPr>
                <w:rFonts w:ascii="宋体" w:hAnsi="宋体" w:eastAsia="宋体"/>
                <w:b w:val="0"/>
                <w:color w:val="000000"/>
                <w:sz w:val="20"/>
              </w:rPr>
              <w:t>8.83±12.42</w:t>
            </w:r>
          </w:p>
        </w:tc>
      </w:tr>
      <w:tr>
        <w:tc>
          <w:tcPr>
            <w:tcW w:type="dxa" w:w="1308"/>
          </w:tcPr>
          <w:p>
            <w:pPr>
              <w:jc w:val="center"/>
            </w:pPr>
            <w:r/>
            <w:r>
              <w:rPr>
                <w:rFonts w:ascii="宋体" w:hAnsi="宋体" w:eastAsia="宋体"/>
                <w:b w:val="0"/>
                <w:color w:val="000000"/>
                <w:sz w:val="20"/>
              </w:rPr>
              <w:t>建筑阴影</w:t>
            </w:r>
          </w:p>
        </w:tc>
        <w:tc>
          <w:tcPr>
            <w:tcW w:type="dxa" w:w="1308"/>
          </w:tcPr>
          <w:p>
            <w:pPr>
              <w:jc w:val="center"/>
            </w:pPr>
            <w:r/>
            <w:r>
              <w:rPr>
                <w:rFonts w:ascii="宋体" w:hAnsi="宋体" w:eastAsia="宋体"/>
                <w:b w:val="0"/>
                <w:color w:val="000000"/>
                <w:sz w:val="20"/>
              </w:rPr>
              <w:t>61.10±10.54</w:t>
            </w:r>
          </w:p>
        </w:tc>
        <w:tc>
          <w:tcPr>
            <w:tcW w:type="dxa" w:w="1308"/>
          </w:tcPr>
          <w:p>
            <w:pPr>
              <w:jc w:val="center"/>
            </w:pPr>
            <w:r/>
            <w:r>
              <w:rPr>
                <w:rFonts w:ascii="宋体" w:hAnsi="宋体" w:eastAsia="宋体"/>
                <w:b w:val="0"/>
                <w:color w:val="000000"/>
                <w:sz w:val="20"/>
              </w:rPr>
              <w:t>31.94±20.15</w:t>
            </w:r>
          </w:p>
        </w:tc>
        <w:tc>
          <w:tcPr>
            <w:tcW w:type="dxa" w:w="1308"/>
          </w:tcPr>
          <w:p>
            <w:pPr>
              <w:jc w:val="center"/>
            </w:pPr>
            <w:r/>
            <w:r>
              <w:rPr>
                <w:rFonts w:ascii="宋体" w:hAnsi="宋体" w:eastAsia="宋体"/>
                <w:b w:val="0"/>
                <w:color w:val="000000"/>
                <w:sz w:val="20"/>
              </w:rPr>
              <w:t>59.11±11.17</w:t>
            </w:r>
          </w:p>
        </w:tc>
        <w:tc>
          <w:tcPr>
            <w:tcW w:type="dxa" w:w="1308"/>
          </w:tcPr>
          <w:p>
            <w:pPr>
              <w:jc w:val="center"/>
            </w:pPr>
            <w:r/>
            <w:r>
              <w:rPr>
                <w:rFonts w:ascii="宋体" w:hAnsi="宋体" w:eastAsia="宋体"/>
                <w:b w:val="0"/>
                <w:color w:val="000000"/>
                <w:sz w:val="20"/>
              </w:rPr>
              <w:t>65.34±8.62</w:t>
            </w:r>
          </w:p>
        </w:tc>
        <w:tc>
          <w:tcPr>
            <w:tcW w:type="dxa" w:w="1308"/>
          </w:tcPr>
          <w:p>
            <w:pPr>
              <w:jc w:val="center"/>
            </w:pPr>
            <w:r/>
            <w:r>
              <w:rPr>
                <w:rFonts w:ascii="宋体" w:hAnsi="宋体" w:eastAsia="宋体"/>
                <w:b w:val="0"/>
                <w:color w:val="000000"/>
                <w:sz w:val="20"/>
              </w:rPr>
              <w:t>72.89±9.16</w:t>
            </w:r>
          </w:p>
        </w:tc>
        <w:tc>
          <w:tcPr>
            <w:tcW w:type="dxa" w:w="1308"/>
          </w:tcPr>
          <w:p>
            <w:pPr>
              <w:jc w:val="center"/>
            </w:pPr>
            <w:r/>
            <w:r>
              <w:rPr>
                <w:rFonts w:ascii="宋体" w:hAnsi="宋体" w:eastAsia="宋体"/>
                <w:b w:val="0"/>
                <w:color w:val="000000"/>
                <w:sz w:val="20"/>
              </w:rPr>
              <w:t>65.75±5.05</w:t>
            </w:r>
          </w:p>
        </w:tc>
        <w:tc>
          <w:tcPr>
            <w:tcW w:type="dxa" w:w="1308"/>
          </w:tcPr>
          <w:p>
            <w:pPr>
              <w:jc w:val="center"/>
            </w:pPr>
            <w:r/>
            <w:r>
              <w:rPr>
                <w:rFonts w:ascii="宋体" w:hAnsi="宋体" w:eastAsia="宋体"/>
                <w:b w:val="0"/>
                <w:color w:val="000000"/>
                <w:sz w:val="20"/>
              </w:rPr>
              <w:t>65.21±9.61</w:t>
            </w:r>
          </w:p>
        </w:tc>
      </w:tr>
      <w:tr>
        <w:tc>
          <w:tcPr>
            <w:tcW w:type="dxa" w:w="1308"/>
          </w:tcPr>
          <w:p>
            <w:pPr>
              <w:jc w:val="center"/>
            </w:pPr>
            <w:r/>
            <w:r>
              <w:rPr>
                <w:rFonts w:ascii="宋体" w:hAnsi="宋体" w:eastAsia="宋体"/>
                <w:b w:val="0"/>
                <w:color w:val="000000"/>
                <w:sz w:val="20"/>
              </w:rPr>
              <w:t>建筑</w:t>
            </w:r>
          </w:p>
        </w:tc>
        <w:tc>
          <w:tcPr>
            <w:tcW w:type="dxa" w:w="1308"/>
          </w:tcPr>
          <w:p>
            <w:pPr>
              <w:jc w:val="center"/>
            </w:pPr>
            <w:r/>
            <w:r>
              <w:rPr>
                <w:rFonts w:ascii="宋体" w:hAnsi="宋体" w:eastAsia="宋体"/>
                <w:b w:val="0"/>
                <w:color w:val="000000"/>
                <w:sz w:val="20"/>
              </w:rPr>
              <w:t>91.47±3.93</w:t>
            </w:r>
          </w:p>
        </w:tc>
        <w:tc>
          <w:tcPr>
            <w:tcW w:type="dxa" w:w="1308"/>
          </w:tcPr>
          <w:p>
            <w:pPr>
              <w:jc w:val="center"/>
            </w:pPr>
            <w:r/>
            <w:r>
              <w:rPr>
                <w:rFonts w:ascii="宋体" w:hAnsi="宋体" w:eastAsia="宋体"/>
                <w:b w:val="0"/>
                <w:color w:val="000000"/>
                <w:sz w:val="20"/>
              </w:rPr>
              <w:t>86.88±0.40</w:t>
            </w:r>
          </w:p>
        </w:tc>
        <w:tc>
          <w:tcPr>
            <w:tcW w:type="dxa" w:w="1308"/>
          </w:tcPr>
          <w:p>
            <w:pPr>
              <w:jc w:val="center"/>
            </w:pPr>
            <w:r/>
            <w:r>
              <w:rPr>
                <w:rFonts w:ascii="宋体" w:hAnsi="宋体" w:eastAsia="宋体"/>
                <w:b w:val="0"/>
                <w:color w:val="000000"/>
                <w:sz w:val="20"/>
              </w:rPr>
              <w:t>94.31±1.44</w:t>
            </w:r>
          </w:p>
        </w:tc>
        <w:tc>
          <w:tcPr>
            <w:tcW w:type="dxa" w:w="1308"/>
          </w:tcPr>
          <w:p>
            <w:pPr>
              <w:jc w:val="center"/>
            </w:pPr>
            <w:r/>
            <w:r>
              <w:rPr>
                <w:rFonts w:ascii="宋体" w:hAnsi="宋体" w:eastAsia="宋体"/>
                <w:b w:val="0"/>
                <w:color w:val="000000"/>
                <w:sz w:val="20"/>
              </w:rPr>
              <w:t>90.91±3.51</w:t>
            </w:r>
          </w:p>
        </w:tc>
        <w:tc>
          <w:tcPr>
            <w:tcW w:type="dxa" w:w="1308"/>
          </w:tcPr>
          <w:p>
            <w:pPr>
              <w:jc w:val="center"/>
            </w:pPr>
            <w:r/>
            <w:r>
              <w:rPr>
                <w:rFonts w:ascii="宋体" w:hAnsi="宋体" w:eastAsia="宋体"/>
                <w:b w:val="0"/>
                <w:color w:val="000000"/>
                <w:sz w:val="20"/>
              </w:rPr>
              <w:t>81.53±9.54</w:t>
            </w:r>
          </w:p>
        </w:tc>
        <w:tc>
          <w:tcPr>
            <w:tcW w:type="dxa" w:w="1308"/>
          </w:tcPr>
          <w:p>
            <w:pPr>
              <w:jc w:val="center"/>
            </w:pPr>
            <w:r/>
            <w:r>
              <w:rPr>
                <w:rFonts w:ascii="宋体" w:hAnsi="宋体" w:eastAsia="宋体"/>
                <w:b w:val="0"/>
                <w:color w:val="000000"/>
                <w:sz w:val="20"/>
              </w:rPr>
              <w:t>93.23±3.41</w:t>
            </w:r>
          </w:p>
        </w:tc>
        <w:tc>
          <w:tcPr>
            <w:tcW w:type="dxa" w:w="1308"/>
          </w:tcPr>
          <w:p>
            <w:pPr>
              <w:jc w:val="center"/>
            </w:pPr>
            <w:r/>
            <w:r>
              <w:rPr>
                <w:rFonts w:ascii="宋体" w:hAnsi="宋体" w:eastAsia="宋体"/>
                <w:b w:val="0"/>
                <w:color w:val="000000"/>
                <w:sz w:val="20"/>
              </w:rPr>
              <w:t>95.01±1.65</w:t>
            </w:r>
          </w:p>
        </w:tc>
      </w:tr>
      <w:tr>
        <w:tc>
          <w:tcPr>
            <w:tcW w:type="dxa" w:w="1308"/>
          </w:tcPr>
          <w:p>
            <w:pPr>
              <w:jc w:val="center"/>
            </w:pPr>
            <w:r/>
            <w:r>
              <w:rPr>
                <w:rFonts w:ascii="宋体" w:hAnsi="宋体" w:eastAsia="宋体"/>
                <w:b w:val="0"/>
                <w:color w:val="000000"/>
                <w:sz w:val="20"/>
              </w:rPr>
              <w:t>人行道</w:t>
            </w:r>
          </w:p>
        </w:tc>
        <w:tc>
          <w:tcPr>
            <w:tcW w:type="dxa" w:w="1308"/>
          </w:tcPr>
          <w:p>
            <w:pPr>
              <w:jc w:val="center"/>
            </w:pPr>
            <w:r/>
            <w:r>
              <w:rPr>
                <w:rFonts w:ascii="宋体" w:hAnsi="宋体" w:eastAsia="宋体"/>
                <w:b w:val="0"/>
                <w:color w:val="000000"/>
                <w:sz w:val="20"/>
              </w:rPr>
              <w:t>30.68±19.07</w:t>
            </w:r>
          </w:p>
        </w:tc>
        <w:tc>
          <w:tcPr>
            <w:tcW w:type="dxa" w:w="1308"/>
          </w:tcPr>
          <w:p>
            <w:pPr>
              <w:jc w:val="center"/>
            </w:pPr>
            <w:r/>
            <w:r>
              <w:rPr>
                <w:rFonts w:ascii="宋体" w:hAnsi="宋体" w:eastAsia="宋体"/>
                <w:b w:val="0"/>
                <w:color w:val="000000"/>
                <w:sz w:val="20"/>
              </w:rPr>
              <w:t>7.72±0.84</w:t>
            </w:r>
          </w:p>
        </w:tc>
        <w:tc>
          <w:tcPr>
            <w:tcW w:type="dxa" w:w="1308"/>
          </w:tcPr>
          <w:p>
            <w:pPr>
              <w:jc w:val="center"/>
            </w:pPr>
            <w:r/>
            <w:r>
              <w:rPr>
                <w:rFonts w:ascii="宋体" w:hAnsi="宋体" w:eastAsia="宋体"/>
                <w:b w:val="0"/>
                <w:color w:val="000000"/>
                <w:sz w:val="20"/>
              </w:rPr>
              <w:t>34.27±8.11</w:t>
            </w:r>
          </w:p>
        </w:tc>
        <w:tc>
          <w:tcPr>
            <w:tcW w:type="dxa" w:w="1308"/>
          </w:tcPr>
          <w:p>
            <w:pPr>
              <w:jc w:val="center"/>
            </w:pPr>
            <w:r/>
            <w:r>
              <w:rPr>
                <w:rFonts w:ascii="宋体" w:hAnsi="宋体" w:eastAsia="宋体"/>
                <w:b w:val="0"/>
                <w:color w:val="000000"/>
                <w:sz w:val="20"/>
              </w:rPr>
              <w:t>12.50±8.16</w:t>
            </w:r>
          </w:p>
        </w:tc>
        <w:tc>
          <w:tcPr>
            <w:tcW w:type="dxa" w:w="1308"/>
          </w:tcPr>
          <w:p>
            <w:pPr>
              <w:jc w:val="center"/>
            </w:pPr>
            <w:r/>
            <w:r>
              <w:rPr>
                <w:rFonts w:ascii="宋体" w:hAnsi="宋体" w:eastAsia="宋体"/>
                <w:b w:val="0"/>
                <w:color w:val="000000"/>
                <w:sz w:val="20"/>
              </w:rPr>
              <w:t>25.81±7.61</w:t>
            </w:r>
          </w:p>
        </w:tc>
        <w:tc>
          <w:tcPr>
            <w:tcW w:type="dxa" w:w="1308"/>
          </w:tcPr>
          <w:p>
            <w:pPr>
              <w:jc w:val="center"/>
            </w:pPr>
            <w:r/>
            <w:r>
              <w:rPr>
                <w:rFonts w:ascii="宋体" w:hAnsi="宋体" w:eastAsia="宋体"/>
                <w:b w:val="0"/>
                <w:color w:val="000000"/>
                <w:sz w:val="20"/>
              </w:rPr>
              <w:t>19.04±10.36</w:t>
            </w:r>
          </w:p>
        </w:tc>
        <w:tc>
          <w:tcPr>
            <w:tcW w:type="dxa" w:w="1308"/>
          </w:tcPr>
          <w:p>
            <w:pPr>
              <w:jc w:val="center"/>
            </w:pPr>
            <w:r/>
            <w:r>
              <w:rPr>
                <w:rFonts w:ascii="宋体" w:hAnsi="宋体" w:eastAsia="宋体"/>
                <w:b w:val="0"/>
                <w:color w:val="000000"/>
                <w:sz w:val="20"/>
              </w:rPr>
              <w:t>16.05±10.07</w:t>
            </w:r>
          </w:p>
        </w:tc>
      </w:tr>
      <w:tr>
        <w:tc>
          <w:tcPr>
            <w:tcW w:type="dxa" w:w="1308"/>
          </w:tcPr>
          <w:p>
            <w:pPr>
              <w:jc w:val="center"/>
            </w:pPr>
            <w:r/>
            <w:r>
              <w:rPr>
                <w:rFonts w:ascii="宋体" w:hAnsi="宋体" w:eastAsia="宋体"/>
                <w:b w:val="0"/>
                <w:color w:val="000000"/>
                <w:sz w:val="20"/>
              </w:rPr>
              <w:t>黄色路缘</w:t>
            </w:r>
          </w:p>
        </w:tc>
        <w:tc>
          <w:tcPr>
            <w:tcW w:type="dxa" w:w="1308"/>
          </w:tcPr>
          <w:p>
            <w:pPr>
              <w:jc w:val="center"/>
            </w:pPr>
            <w:r/>
            <w:r>
              <w:rPr>
                <w:rFonts w:ascii="宋体" w:hAnsi="宋体" w:eastAsia="宋体"/>
                <w:b w:val="0"/>
                <w:color w:val="000000"/>
                <w:sz w:val="20"/>
              </w:rPr>
              <w:t>2.28±3.68</w:t>
            </w:r>
          </w:p>
        </w:tc>
        <w:tc>
          <w:tcPr>
            <w:tcW w:type="dxa" w:w="1308"/>
          </w:tcPr>
          <w:p>
            <w:pPr>
              <w:jc w:val="center"/>
            </w:pPr>
            <w:r/>
            <w:r>
              <w:rPr>
                <w:rFonts w:ascii="宋体" w:hAnsi="宋体" w:eastAsia="宋体"/>
                <w:b w:val="0"/>
                <w:color w:val="000000"/>
                <w:sz w:val="20"/>
              </w:rPr>
              <w:t>4.92±4.31</w:t>
            </w:r>
          </w:p>
        </w:tc>
        <w:tc>
          <w:tcPr>
            <w:tcW w:type="dxa" w:w="1308"/>
          </w:tcPr>
          <w:p>
            <w:pPr>
              <w:jc w:val="center"/>
            </w:pPr>
            <w:r/>
            <w:r>
              <w:rPr>
                <w:rFonts w:ascii="宋体" w:hAnsi="宋体" w:eastAsia="宋体"/>
                <w:b w:val="0"/>
                <w:color w:val="000000"/>
                <w:sz w:val="20"/>
              </w:rPr>
              <w:t>2.15±2.82</w:t>
            </w:r>
          </w:p>
        </w:tc>
        <w:tc>
          <w:tcPr>
            <w:tcW w:type="dxa" w:w="1308"/>
          </w:tcPr>
          <w:p>
            <w:pPr>
              <w:jc w:val="center"/>
            </w:pPr>
            <w:r/>
            <w:r>
              <w:rPr>
                <w:rFonts w:ascii="宋体" w:hAnsi="宋体" w:eastAsia="宋体"/>
                <w:b w:val="0"/>
                <w:color w:val="000000"/>
                <w:sz w:val="20"/>
              </w:rPr>
              <w:t>1.44±1.80</w:t>
            </w:r>
          </w:p>
        </w:tc>
        <w:tc>
          <w:tcPr>
            <w:tcW w:type="dxa" w:w="1308"/>
          </w:tcPr>
          <w:p>
            <w:pPr>
              <w:jc w:val="center"/>
            </w:pPr>
            <w:r/>
            <w:r>
              <w:rPr>
                <w:rFonts w:ascii="宋体" w:hAnsi="宋体" w:eastAsia="宋体"/>
                <w:b w:val="0"/>
                <w:color w:val="000000"/>
                <w:sz w:val="20"/>
              </w:rPr>
              <w:t>10.91±8.74</w:t>
            </w:r>
          </w:p>
        </w:tc>
        <w:tc>
          <w:tcPr>
            <w:tcW w:type="dxa" w:w="1308"/>
          </w:tcPr>
          <w:p>
            <w:pPr>
              <w:jc w:val="center"/>
            </w:pPr>
            <w:r/>
            <w:r>
              <w:rPr>
                <w:rFonts w:ascii="宋体" w:hAnsi="宋体" w:eastAsia="宋体"/>
                <w:b w:val="0"/>
                <w:color w:val="000000"/>
                <w:sz w:val="20"/>
              </w:rPr>
              <w:t>5.81±6.86</w:t>
            </w:r>
          </w:p>
        </w:tc>
        <w:tc>
          <w:tcPr>
            <w:tcW w:type="dxa" w:w="1308"/>
          </w:tcPr>
          <w:p>
            <w:pPr>
              <w:jc w:val="center"/>
            </w:pPr>
            <w:r/>
            <w:r>
              <w:rPr>
                <w:rFonts w:ascii="宋体" w:hAnsi="宋体" w:eastAsia="宋体"/>
                <w:b w:val="0"/>
                <w:color w:val="000000"/>
                <w:sz w:val="20"/>
              </w:rPr>
              <w:t>0.11±0.23</w:t>
            </w:r>
          </w:p>
        </w:tc>
      </w:tr>
      <w:tr>
        <w:tc>
          <w:tcPr>
            <w:tcW w:type="dxa" w:w="1308"/>
          </w:tcPr>
          <w:p>
            <w:pPr>
              <w:jc w:val="center"/>
            </w:pPr>
            <w:r/>
            <w:r>
              <w:rPr>
                <w:rFonts w:ascii="宋体" w:hAnsi="宋体" w:eastAsia="宋体"/>
                <w:b w:val="0"/>
                <w:color w:val="000000"/>
                <w:sz w:val="20"/>
              </w:rPr>
              <w:t>布制覆盖板</w:t>
            </w:r>
          </w:p>
        </w:tc>
        <w:tc>
          <w:tcPr>
            <w:tcW w:type="dxa" w:w="1308"/>
          </w:tcPr>
          <w:p>
            <w:pPr>
              <w:jc w:val="center"/>
            </w:pPr>
            <w:r/>
            <w:r>
              <w:rPr>
                <w:rFonts w:ascii="宋体" w:hAnsi="宋体" w:eastAsia="宋体"/>
                <w:b w:val="0"/>
                <w:color w:val="000000"/>
                <w:sz w:val="20"/>
              </w:rPr>
              <w:t>11.48±19.22</w:t>
            </w:r>
          </w:p>
        </w:tc>
        <w:tc>
          <w:tcPr>
            <w:tcW w:type="dxa" w:w="1308"/>
          </w:tcPr>
          <w:p>
            <w:pPr>
              <w:jc w:val="center"/>
            </w:pPr>
            <w:r/>
            <w:r>
              <w:rPr>
                <w:rFonts w:ascii="宋体" w:hAnsi="宋体" w:eastAsia="宋体"/>
                <w:b w:val="0"/>
                <w:color w:val="000000"/>
                <w:sz w:val="20"/>
              </w:rPr>
              <w:t>8.57±29.28</w:t>
            </w:r>
          </w:p>
        </w:tc>
        <w:tc>
          <w:tcPr>
            <w:tcW w:type="dxa" w:w="1308"/>
          </w:tcPr>
          <w:p>
            <w:pPr>
              <w:jc w:val="center"/>
            </w:pPr>
            <w:r/>
            <w:r>
              <w:rPr>
                <w:rFonts w:ascii="宋体" w:hAnsi="宋体" w:eastAsia="宋体"/>
                <w:b w:val="0"/>
                <w:color w:val="000000"/>
                <w:sz w:val="20"/>
              </w:rPr>
              <w:t>14.75±20.36</w:t>
            </w:r>
          </w:p>
        </w:tc>
        <w:tc>
          <w:tcPr>
            <w:tcW w:type="dxa" w:w="1308"/>
          </w:tcPr>
          <w:p>
            <w:pPr>
              <w:jc w:val="center"/>
            </w:pPr>
            <w:r/>
            <w:r>
              <w:rPr>
                <w:rFonts w:ascii="宋体" w:hAnsi="宋体" w:eastAsia="宋体"/>
                <w:b w:val="0"/>
                <w:color w:val="000000"/>
                <w:sz w:val="20"/>
              </w:rPr>
              <w:t>33.79±32.65</w:t>
            </w:r>
          </w:p>
        </w:tc>
        <w:tc>
          <w:tcPr>
            <w:tcW w:type="dxa" w:w="1308"/>
          </w:tcPr>
          <w:p>
            <w:pPr>
              <w:jc w:val="center"/>
            </w:pPr>
            <w:r/>
            <w:r>
              <w:rPr>
                <w:rFonts w:ascii="宋体" w:hAnsi="宋体" w:eastAsia="宋体"/>
                <w:b w:val="0"/>
                <w:color w:val="000000"/>
                <w:sz w:val="20"/>
              </w:rPr>
              <w:t>26.75±25.18</w:t>
            </w:r>
          </w:p>
        </w:tc>
        <w:tc>
          <w:tcPr>
            <w:tcW w:type="dxa" w:w="1308"/>
          </w:tcPr>
          <w:p>
            <w:pPr>
              <w:jc w:val="center"/>
            </w:pPr>
            <w:r/>
            <w:r>
              <w:rPr>
                <w:rFonts w:ascii="宋体" w:hAnsi="宋体" w:eastAsia="宋体"/>
                <w:b w:val="0"/>
                <w:color w:val="000000"/>
                <w:sz w:val="20"/>
              </w:rPr>
              <w:t>46.43±26.08</w:t>
            </w:r>
          </w:p>
        </w:tc>
        <w:tc>
          <w:tcPr>
            <w:tcW w:type="dxa" w:w="1308"/>
          </w:tcPr>
          <w:p>
            <w:pPr>
              <w:jc w:val="center"/>
            </w:pPr>
            <w:r/>
            <w:r>
              <w:rPr>
                <w:rFonts w:ascii="宋体" w:hAnsi="宋体" w:eastAsia="宋体"/>
                <w:b w:val="0"/>
                <w:color w:val="000000"/>
                <w:sz w:val="20"/>
              </w:rPr>
              <w:t>52.11±21.23</w:t>
            </w:r>
          </w:p>
        </w:tc>
      </w:tr>
      <w:tr>
        <w:tc>
          <w:tcPr>
            <w:tcW w:type="dxa" w:w="1308"/>
          </w:tcPr>
          <w:p>
            <w:pPr>
              <w:jc w:val="center"/>
            </w:pPr>
            <w:r/>
            <w:r>
              <w:rPr>
                <w:rFonts w:ascii="宋体" w:hAnsi="宋体" w:eastAsia="宋体"/>
                <w:b w:val="0"/>
                <w:color w:val="000000"/>
                <w:sz w:val="20"/>
              </w:rPr>
              <w:t>OA (%)</w:t>
            </w:r>
          </w:p>
        </w:tc>
        <w:tc>
          <w:tcPr>
            <w:tcW w:type="dxa" w:w="1308"/>
          </w:tcPr>
          <w:p>
            <w:pPr>
              <w:jc w:val="center"/>
            </w:pPr>
            <w:r/>
            <w:r>
              <w:rPr>
                <w:rFonts w:ascii="宋体" w:hAnsi="宋体" w:eastAsia="宋体"/>
                <w:b w:val="0"/>
                <w:color w:val="000000"/>
                <w:sz w:val="20"/>
              </w:rPr>
              <w:t>83.35±1.36</w:t>
            </w:r>
          </w:p>
        </w:tc>
        <w:tc>
          <w:tcPr>
            <w:tcW w:type="dxa" w:w="1308"/>
          </w:tcPr>
          <w:p>
            <w:pPr>
              <w:jc w:val="center"/>
            </w:pPr>
            <w:r/>
            <w:r>
              <w:rPr>
                <w:rFonts w:ascii="宋体" w:hAnsi="宋体" w:eastAsia="宋体"/>
                <w:b w:val="0"/>
                <w:color w:val="000000"/>
                <w:sz w:val="20"/>
              </w:rPr>
              <w:t>81.00±0.33</w:t>
            </w:r>
          </w:p>
        </w:tc>
        <w:tc>
          <w:tcPr>
            <w:tcW w:type="dxa" w:w="1308"/>
          </w:tcPr>
          <w:p>
            <w:pPr>
              <w:jc w:val="center"/>
            </w:pPr>
            <w:r/>
            <w:r>
              <w:rPr>
                <w:rFonts w:ascii="宋体" w:hAnsi="宋体" w:eastAsia="宋体"/>
                <w:b w:val="0"/>
                <w:color w:val="000000"/>
                <w:sz w:val="20"/>
              </w:rPr>
              <w:t>83.28±0.69</w:t>
            </w:r>
          </w:p>
        </w:tc>
        <w:tc>
          <w:tcPr>
            <w:tcW w:type="dxa" w:w="1308"/>
          </w:tcPr>
          <w:p>
            <w:pPr>
              <w:jc w:val="center"/>
            </w:pPr>
            <w:r/>
            <w:r>
              <w:rPr>
                <w:rFonts w:ascii="宋体" w:hAnsi="宋体" w:eastAsia="宋体"/>
                <w:b w:val="0"/>
                <w:color w:val="000000"/>
                <w:sz w:val="20"/>
              </w:rPr>
              <w:t>81.40±1.50</w:t>
            </w:r>
          </w:p>
        </w:tc>
        <w:tc>
          <w:tcPr>
            <w:tcW w:type="dxa" w:w="1308"/>
          </w:tcPr>
          <w:p>
            <w:pPr>
              <w:jc w:val="center"/>
            </w:pPr>
            <w:r/>
            <w:r>
              <w:rPr>
                <w:rFonts w:ascii="宋体" w:hAnsi="宋体" w:eastAsia="宋体"/>
                <w:b w:val="0"/>
                <w:color w:val="000000"/>
                <w:sz w:val="20"/>
              </w:rPr>
              <w:t>83.66±2.18</w:t>
            </w:r>
          </w:p>
        </w:tc>
        <w:tc>
          <w:tcPr>
            <w:tcW w:type="dxa" w:w="1308"/>
          </w:tcPr>
          <w:p>
            <w:pPr>
              <w:jc w:val="center"/>
            </w:pPr>
            <w:r/>
            <w:r>
              <w:rPr>
                <w:rFonts w:ascii="宋体" w:hAnsi="宋体" w:eastAsia="宋体"/>
                <w:b w:val="0"/>
                <w:color w:val="000000"/>
                <w:sz w:val="20"/>
              </w:rPr>
              <w:t>84.24±0.85</w:t>
            </w:r>
          </w:p>
        </w:tc>
        <w:tc>
          <w:tcPr>
            <w:tcW w:type="dxa" w:w="1308"/>
          </w:tcPr>
          <w:p>
            <w:pPr>
              <w:jc w:val="center"/>
            </w:pPr>
            <w:r/>
            <w:r>
              <w:rPr>
                <w:rFonts w:ascii="宋体" w:hAnsi="宋体" w:eastAsia="宋体"/>
                <w:b w:val="0"/>
                <w:color w:val="000000"/>
                <w:sz w:val="20"/>
              </w:rPr>
              <w:t>85.33±0.55</w:t>
            </w:r>
          </w:p>
        </w:tc>
      </w:tr>
      <w:tr>
        <w:tc>
          <w:tcPr>
            <w:tcW w:type="dxa" w:w="1308"/>
          </w:tcPr>
          <w:p>
            <w:pPr>
              <w:jc w:val="center"/>
            </w:pPr>
            <w:r/>
            <w:r>
              <w:rPr>
                <w:rFonts w:ascii="宋体" w:hAnsi="宋体" w:eastAsia="宋体"/>
                <w:b w:val="0"/>
                <w:color w:val="000000"/>
                <w:sz w:val="20"/>
              </w:rPr>
              <w:t>AA (%)</w:t>
            </w:r>
          </w:p>
        </w:tc>
        <w:tc>
          <w:tcPr>
            <w:tcW w:type="dxa" w:w="1308"/>
          </w:tcPr>
          <w:p>
            <w:pPr>
              <w:jc w:val="center"/>
            </w:pPr>
            <w:r/>
            <w:r>
              <w:rPr>
                <w:rFonts w:ascii="宋体" w:hAnsi="宋体" w:eastAsia="宋体"/>
                <w:b w:val="0"/>
                <w:color w:val="000000"/>
                <w:sz w:val="20"/>
              </w:rPr>
              <w:t>52.48±5.47</w:t>
            </w:r>
          </w:p>
        </w:tc>
        <w:tc>
          <w:tcPr>
            <w:tcW w:type="dxa" w:w="1308"/>
          </w:tcPr>
          <w:p>
            <w:pPr>
              <w:jc w:val="center"/>
            </w:pPr>
            <w:r/>
            <w:r>
              <w:rPr>
                <w:rFonts w:ascii="宋体" w:hAnsi="宋体" w:eastAsia="宋体"/>
                <w:b w:val="0"/>
                <w:color w:val="000000"/>
                <w:sz w:val="20"/>
              </w:rPr>
              <w:t>56.20±2.19</w:t>
            </w:r>
          </w:p>
        </w:tc>
        <w:tc>
          <w:tcPr>
            <w:tcW w:type="dxa" w:w="1308"/>
          </w:tcPr>
          <w:p>
            <w:pPr>
              <w:jc w:val="center"/>
            </w:pPr>
            <w:r/>
            <w:r>
              <w:rPr>
                <w:rFonts w:ascii="宋体" w:hAnsi="宋体" w:eastAsia="宋体"/>
                <w:b w:val="0"/>
                <w:color w:val="000000"/>
                <w:sz w:val="20"/>
              </w:rPr>
              <w:t>52.43±4.13</w:t>
            </w:r>
          </w:p>
        </w:tc>
        <w:tc>
          <w:tcPr>
            <w:tcW w:type="dxa" w:w="1308"/>
          </w:tcPr>
          <w:p>
            <w:pPr>
              <w:jc w:val="center"/>
            </w:pPr>
            <w:r/>
            <w:r>
              <w:rPr>
                <w:rFonts w:ascii="宋体" w:hAnsi="宋体" w:eastAsia="宋体"/>
                <w:b w:val="0"/>
                <w:color w:val="000000"/>
                <w:sz w:val="20"/>
              </w:rPr>
              <w:t>54.62±6.54</w:t>
            </w:r>
          </w:p>
        </w:tc>
        <w:tc>
          <w:tcPr>
            <w:tcW w:type="dxa" w:w="1308"/>
          </w:tcPr>
          <w:p>
            <w:pPr>
              <w:jc w:val="center"/>
            </w:pPr>
            <w:r/>
            <w:r>
              <w:rPr>
                <w:rFonts w:ascii="宋体" w:hAnsi="宋体" w:eastAsia="宋体"/>
                <w:b w:val="0"/>
                <w:color w:val="000000"/>
                <w:sz w:val="20"/>
              </w:rPr>
              <w:t>57.20±3.50</w:t>
            </w:r>
          </w:p>
        </w:tc>
        <w:tc>
          <w:tcPr>
            <w:tcW w:type="dxa" w:w="1308"/>
          </w:tcPr>
          <w:p>
            <w:pPr>
              <w:jc w:val="center"/>
            </w:pPr>
            <w:r/>
            <w:r>
              <w:rPr>
                <w:rFonts w:ascii="宋体" w:hAnsi="宋体" w:eastAsia="宋体"/>
                <w:b w:val="0"/>
                <w:color w:val="000000"/>
                <w:sz w:val="20"/>
              </w:rPr>
              <w:t>58.19±4.24</w:t>
            </w:r>
          </w:p>
        </w:tc>
        <w:tc>
          <w:tcPr>
            <w:tcW w:type="dxa" w:w="1308"/>
          </w:tcPr>
          <w:p>
            <w:pPr>
              <w:jc w:val="center"/>
            </w:pPr>
            <w:r/>
            <w:r>
              <w:rPr>
                <w:rFonts w:ascii="宋体" w:hAnsi="宋体" w:eastAsia="宋体"/>
                <w:b w:val="0"/>
                <w:color w:val="000000"/>
                <w:sz w:val="20"/>
              </w:rPr>
              <w:t>58.87±2.87</w:t>
            </w:r>
          </w:p>
        </w:tc>
      </w:tr>
      <w:tr>
        <w:tc>
          <w:tcPr>
            <w:tcW w:type="dxa" w:w="1308"/>
          </w:tcPr>
          <w:p>
            <w:pPr>
              <w:jc w:val="center"/>
            </w:pPr>
            <w:r/>
            <w:r>
              <w:rPr>
                <w:rFonts w:ascii="宋体" w:hAnsi="宋体" w:eastAsia="宋体"/>
                <w:b w:val="0"/>
                <w:color w:val="000000"/>
                <w:sz w:val="20"/>
              </w:rPr>
              <w:t>K×100</w:t>
            </w:r>
          </w:p>
        </w:tc>
        <w:tc>
          <w:tcPr>
            <w:tcW w:type="dxa" w:w="1308"/>
          </w:tcPr>
          <w:p>
            <w:pPr>
              <w:jc w:val="center"/>
            </w:pPr>
            <w:r/>
            <w:r>
              <w:rPr>
                <w:rFonts w:ascii="宋体" w:hAnsi="宋体" w:eastAsia="宋体"/>
                <w:b w:val="0"/>
                <w:color w:val="000000"/>
                <w:sz w:val="20"/>
              </w:rPr>
              <w:t>77.57±1.89</w:t>
            </w:r>
          </w:p>
        </w:tc>
        <w:tc>
          <w:tcPr>
            <w:tcW w:type="dxa" w:w="1308"/>
          </w:tcPr>
          <w:p>
            <w:pPr>
              <w:jc w:val="center"/>
            </w:pPr>
            <w:r/>
            <w:r>
              <w:rPr>
                <w:rFonts w:ascii="宋体" w:hAnsi="宋体" w:eastAsia="宋体"/>
                <w:b w:val="0"/>
                <w:color w:val="000000"/>
                <w:sz w:val="20"/>
              </w:rPr>
              <w:t>74.41±0.48</w:t>
            </w:r>
          </w:p>
        </w:tc>
        <w:tc>
          <w:tcPr>
            <w:tcW w:type="dxa" w:w="1308"/>
          </w:tcPr>
          <w:p>
            <w:pPr>
              <w:jc w:val="center"/>
            </w:pPr>
            <w:r/>
            <w:r>
              <w:rPr>
                <w:rFonts w:ascii="宋体" w:hAnsi="宋体" w:eastAsia="宋体"/>
                <w:b w:val="0"/>
                <w:color w:val="000000"/>
                <w:sz w:val="20"/>
              </w:rPr>
              <w:t>77.49±1.06</w:t>
            </w:r>
          </w:p>
        </w:tc>
        <w:tc>
          <w:tcPr>
            <w:tcW w:type="dxa" w:w="1308"/>
          </w:tcPr>
          <w:p>
            <w:pPr>
              <w:jc w:val="center"/>
            </w:pPr>
            <w:r/>
            <w:r>
              <w:rPr>
                <w:rFonts w:ascii="宋体" w:hAnsi="宋体" w:eastAsia="宋体"/>
                <w:b w:val="0"/>
                <w:color w:val="000000"/>
                <w:sz w:val="20"/>
              </w:rPr>
              <w:t>75.31±1.87</w:t>
            </w:r>
          </w:p>
        </w:tc>
        <w:tc>
          <w:tcPr>
            <w:tcW w:type="dxa" w:w="1308"/>
          </w:tcPr>
          <w:p>
            <w:pPr>
              <w:jc w:val="center"/>
            </w:pPr>
            <w:r/>
            <w:r>
              <w:rPr>
                <w:rFonts w:ascii="宋体" w:hAnsi="宋体" w:eastAsia="宋体"/>
                <w:b w:val="0"/>
                <w:color w:val="000000"/>
                <w:sz w:val="20"/>
              </w:rPr>
              <w:t>78.04±2.88</w:t>
            </w:r>
          </w:p>
        </w:tc>
        <w:tc>
          <w:tcPr>
            <w:tcW w:type="dxa" w:w="1308"/>
          </w:tcPr>
          <w:p>
            <w:pPr>
              <w:jc w:val="center"/>
            </w:pPr>
            <w:r/>
            <w:r>
              <w:rPr>
                <w:rFonts w:ascii="宋体" w:hAnsi="宋体" w:eastAsia="宋体"/>
                <w:b w:val="0"/>
                <w:color w:val="000000"/>
                <w:sz w:val="20"/>
              </w:rPr>
              <w:t>78.87±1.19</w:t>
            </w:r>
          </w:p>
        </w:tc>
        <w:tc>
          <w:tcPr>
            <w:tcW w:type="dxa" w:w="1308"/>
          </w:tcPr>
          <w:p>
            <w:pPr>
              <w:jc w:val="center"/>
            </w:pPr>
            <w:r/>
            <w:r>
              <w:rPr>
                <w:rFonts w:ascii="宋体" w:hAnsi="宋体" w:eastAsia="宋体"/>
                <w:b w:val="0"/>
                <w:color w:val="000000"/>
                <w:sz w:val="20"/>
              </w:rPr>
              <w:t>80.43±0.73</w:t>
            </w:r>
          </w:p>
        </w:tc>
      </w:tr>
    </w:tbl>
    <w:p>
      <w:pPr>
        <w:spacing w:line="360" w:lineRule="auto" w:after="0"/>
        <w:ind w:firstLine="420"/>
      </w:pPr>
      <w:r>
        <w:rPr>
          <w:rFonts w:ascii="宋体" w:hAnsi="宋体" w:eastAsia="宋体"/>
          <w:b w:val="0"/>
          <w:color w:val="000000"/>
          <w:sz w:val="24"/>
        </w:rPr>
        <w:t>1）休斯顿数据集：在休斯顿数据集上，SC-MSS-MTr的OA达到91.76%，AA为91.24%，Kappa为91.10%，均为最高值。相比于表现次优的ExViT（OA=88.88%，AA=88.59%，Kappa=87.89%），SC-MSS-MTr分别提升了2.88%、2.65%和3.21%，相较于基于CNN的方法CCRNet，更是有超过10%的优势。在类别精度上，SC-MSS-MTr在树、公路、网球场、停车场等类别上表现突出。例如在"商业区"和"居民区"类别中，SC-MSS-MTr的精度比CCRNet和NCGLF2高出5–10个百分点。</w:t>
      </w:r>
    </w:p>
    <w:p>
      <w:pPr>
        <w:spacing w:line="360" w:lineRule="auto" w:after="0"/>
        <w:ind w:firstLine="420"/>
      </w:pPr>
      <w:r>
        <w:rPr>
          <w:rFonts w:ascii="宋体" w:hAnsi="宋体" w:eastAsia="宋体"/>
          <w:b w:val="0"/>
          <w:color w:val="000000"/>
          <w:sz w:val="24"/>
        </w:rPr>
        <w:t>2）柏林数据集：在柏林数据集上，SC-MSS-MTr同样取得最佳结果，OA、AA和Kappa分别为83.48%、58.44%和72.81%。从细分类别的表现来看，柏林数据集中的商业区与家庭菜园类别区分难度较大，对比方法在这些类别上的精度普遍偏低（不足35%），而SC-MSS-MTr在这两类地物上的分类精度明显更高。</w:t>
      </w:r>
    </w:p>
    <w:p>
      <w:pPr>
        <w:spacing w:line="360" w:lineRule="auto" w:after="0"/>
        <w:ind w:firstLine="420"/>
      </w:pPr>
      <w:r>
        <w:rPr>
          <w:rFonts w:ascii="宋体" w:hAnsi="宋体" w:eastAsia="宋体"/>
          <w:b w:val="0"/>
          <w:color w:val="000000"/>
          <w:sz w:val="24"/>
        </w:rPr>
        <w:t>3）密西西比大学数据集：在密西西比大学数据集上，SC-MSS-MTr再次取得最优结果，OA达到85.33%，AA为58.87%，Kappa为80.43%。在具体类别方面，SC-MSS-MTr在混合地表、公路等类别上的分类表现均显著优于其他方法。</w:t>
      </w:r>
    </w:p>
    <w:p>
      <w:pPr>
        <w:spacing w:line="360" w:lineRule="auto" w:after="0"/>
        <w:ind w:firstLine="420"/>
      </w:pPr>
      <w:r>
        <w:rPr>
          <w:rFonts w:ascii="宋体" w:hAnsi="宋体" w:eastAsia="宋体"/>
          <w:b w:val="0"/>
          <w:color w:val="000000"/>
          <w:sz w:val="24"/>
        </w:rPr>
        <w:t>总体而言，实验结果充分证明了组合了监督分类任务、重建任务和对比学习任务的预训练方法是有效的。</w:t>
      </w:r>
    </w:p>
    <w:p>
      <w:pPr>
        <w:spacing w:before="80" w:after="40"/>
        <w:ind w:firstLine="0"/>
      </w:pPr>
      <w:r>
        <w:rPr>
          <w:rFonts w:ascii="黑体" w:hAnsi="黑体" w:eastAsia="黑体"/>
          <w:b/>
          <w:color w:val="000000"/>
          <w:sz w:val="26"/>
        </w:rPr>
        <w:t>5.1.4.3 消融实验</w:t>
      </w:r>
    </w:p>
    <w:p>
      <w:pPr>
        <w:spacing w:after="120"/>
        <w:ind w:firstLine="0"/>
        <w:jc w:val="center"/>
      </w:pPr>
      <w:r>
        <w:rPr>
          <w:rFonts w:ascii="宋体" w:hAnsi="宋体" w:eastAsia="宋体"/>
          <w:b w:val="0"/>
          <w:color w:val="000000"/>
          <w:sz w:val="21"/>
        </w:rPr>
        <w:t>表5-7　关于预训练过程的消融实验结果（%）</w:t>
      </w:r>
    </w:p>
    <w:tbl>
      <w:tblPr>
        <w:tblStyle w:val="af2"/>
        <w:tblW w:type="auto" w:w="0"/>
        <w:jc w:val="center"/>
        <w:tblLook w:firstColumn="1" w:firstRow="1" w:lastColumn="0" w:lastRow="0" w:noHBand="0" w:noVBand="1" w:val="04A0"/>
      </w:tblPr>
      <w:tblGrid>
        <w:gridCol w:w="1495"/>
        <w:gridCol w:w="1495"/>
        <w:gridCol w:w="1495"/>
        <w:gridCol w:w="1495"/>
        <w:gridCol w:w="1495"/>
        <w:gridCol w:w="1495"/>
        <w:gridCol w:w="1495"/>
      </w:tblGrid>
      <w:tr>
        <w:tc>
          <w:tcPr>
            <w:tcW w:type="dxa" w:w="1495"/>
          </w:tcPr>
          <w:p>
            <w:pPr>
              <w:jc w:val="center"/>
            </w:pPr>
            <w:r/>
            <w:r>
              <w:rPr>
                <w:rFonts w:ascii="宋体" w:hAnsi="宋体" w:eastAsia="宋体"/>
                <w:b/>
                <w:color w:val="000000"/>
                <w:sz w:val="20"/>
              </w:rPr>
              <w:t>是否预训练</w:t>
            </w:r>
          </w:p>
        </w:tc>
        <w:tc>
          <w:tcPr>
            <w:tcW w:type="dxa" w:w="1495"/>
          </w:tcPr>
          <w:p>
            <w:pPr>
              <w:jc w:val="center"/>
            </w:pPr>
            <w:r/>
            <w:r>
              <w:rPr>
                <w:rFonts w:ascii="宋体" w:hAnsi="宋体" w:eastAsia="宋体"/>
                <w:b/>
                <w:color w:val="000000"/>
                <w:sz w:val="20"/>
              </w:rPr>
              <w:t>休斯顿 OA</w:t>
            </w:r>
          </w:p>
        </w:tc>
        <w:tc>
          <w:tcPr>
            <w:tcW w:type="dxa" w:w="1495"/>
          </w:tcPr>
          <w:p>
            <w:pPr>
              <w:jc w:val="center"/>
            </w:pPr>
            <w:r/>
            <w:r>
              <w:rPr>
                <w:rFonts w:ascii="宋体" w:hAnsi="宋体" w:eastAsia="宋体"/>
                <w:b/>
                <w:color w:val="000000"/>
                <w:sz w:val="20"/>
              </w:rPr>
              <w:t>休斯顿 AA</w:t>
            </w:r>
          </w:p>
        </w:tc>
        <w:tc>
          <w:tcPr>
            <w:tcW w:type="dxa" w:w="1495"/>
          </w:tcPr>
          <w:p>
            <w:pPr>
              <w:jc w:val="center"/>
            </w:pPr>
            <w:r/>
            <w:r>
              <w:rPr>
                <w:rFonts w:ascii="宋体" w:hAnsi="宋体" w:eastAsia="宋体"/>
                <w:b/>
                <w:color w:val="000000"/>
                <w:sz w:val="20"/>
              </w:rPr>
              <w:t>休斯顿 Kappa</w:t>
            </w:r>
          </w:p>
        </w:tc>
        <w:tc>
          <w:tcPr>
            <w:tcW w:type="dxa" w:w="1495"/>
          </w:tcPr>
          <w:p>
            <w:pPr>
              <w:jc w:val="center"/>
            </w:pPr>
            <w:r/>
            <w:r>
              <w:rPr>
                <w:rFonts w:ascii="宋体" w:hAnsi="宋体" w:eastAsia="宋体"/>
                <w:b/>
                <w:color w:val="000000"/>
                <w:sz w:val="20"/>
              </w:rPr>
              <w:t>密西西比大学 OA</w:t>
            </w:r>
          </w:p>
        </w:tc>
        <w:tc>
          <w:tcPr>
            <w:tcW w:type="dxa" w:w="1495"/>
          </w:tcPr>
          <w:p>
            <w:pPr>
              <w:jc w:val="center"/>
            </w:pPr>
            <w:r/>
            <w:r>
              <w:rPr>
                <w:rFonts w:ascii="宋体" w:hAnsi="宋体" w:eastAsia="宋体"/>
                <w:b/>
                <w:color w:val="000000"/>
                <w:sz w:val="20"/>
              </w:rPr>
              <w:t>密西西比大学 AA</w:t>
            </w:r>
          </w:p>
        </w:tc>
        <w:tc>
          <w:tcPr>
            <w:tcW w:type="dxa" w:w="1495"/>
          </w:tcPr>
          <w:p>
            <w:pPr>
              <w:jc w:val="center"/>
            </w:pPr>
            <w:r/>
            <w:r>
              <w:rPr>
                <w:rFonts w:ascii="宋体" w:hAnsi="宋体" w:eastAsia="宋体"/>
                <w:b/>
                <w:color w:val="000000"/>
                <w:sz w:val="20"/>
              </w:rPr>
              <w:t>密西西比大学 Kappa</w:t>
            </w:r>
          </w:p>
        </w:tc>
      </w:tr>
      <w:tr>
        <w:tc>
          <w:tcPr>
            <w:tcW w:type="dxa" w:w="1495"/>
          </w:tcPr>
          <w:p>
            <w:pPr>
              <w:jc w:val="center"/>
            </w:pPr>
            <w:r/>
            <w:r>
              <w:rPr>
                <w:rFonts w:ascii="宋体" w:hAnsi="宋体" w:eastAsia="宋体"/>
                <w:b w:val="0"/>
                <w:color w:val="000000"/>
                <w:sz w:val="20"/>
              </w:rPr>
              <w:t>是</w:t>
            </w:r>
          </w:p>
        </w:tc>
        <w:tc>
          <w:tcPr>
            <w:tcW w:type="dxa" w:w="1495"/>
          </w:tcPr>
          <w:p>
            <w:pPr>
              <w:jc w:val="center"/>
            </w:pPr>
            <w:r/>
            <w:r>
              <w:rPr>
                <w:rFonts w:ascii="宋体" w:hAnsi="宋体" w:eastAsia="宋体"/>
                <w:b w:val="0"/>
                <w:color w:val="000000"/>
                <w:sz w:val="20"/>
              </w:rPr>
              <w:t>91.76</w:t>
            </w:r>
          </w:p>
        </w:tc>
        <w:tc>
          <w:tcPr>
            <w:tcW w:type="dxa" w:w="1495"/>
          </w:tcPr>
          <w:p>
            <w:pPr>
              <w:jc w:val="center"/>
            </w:pPr>
            <w:r/>
            <w:r>
              <w:rPr>
                <w:rFonts w:ascii="宋体" w:hAnsi="宋体" w:eastAsia="宋体"/>
                <w:b w:val="0"/>
                <w:color w:val="000000"/>
                <w:sz w:val="20"/>
              </w:rPr>
              <w:t>91.24</w:t>
            </w:r>
          </w:p>
        </w:tc>
        <w:tc>
          <w:tcPr>
            <w:tcW w:type="dxa" w:w="1495"/>
          </w:tcPr>
          <w:p>
            <w:pPr>
              <w:jc w:val="center"/>
            </w:pPr>
            <w:r/>
            <w:r>
              <w:rPr>
                <w:rFonts w:ascii="宋体" w:hAnsi="宋体" w:eastAsia="宋体"/>
                <w:b w:val="0"/>
                <w:color w:val="000000"/>
                <w:sz w:val="20"/>
              </w:rPr>
              <w:t>91.10</w:t>
            </w:r>
          </w:p>
        </w:tc>
        <w:tc>
          <w:tcPr>
            <w:tcW w:type="dxa" w:w="1495"/>
          </w:tcPr>
          <w:p>
            <w:pPr>
              <w:jc w:val="center"/>
            </w:pPr>
            <w:r/>
            <w:r>
              <w:rPr>
                <w:rFonts w:ascii="宋体" w:hAnsi="宋体" w:eastAsia="宋体"/>
                <w:b w:val="0"/>
                <w:color w:val="000000"/>
                <w:sz w:val="20"/>
              </w:rPr>
              <w:t>85.33</w:t>
            </w:r>
          </w:p>
        </w:tc>
        <w:tc>
          <w:tcPr>
            <w:tcW w:type="dxa" w:w="1495"/>
          </w:tcPr>
          <w:p>
            <w:pPr>
              <w:jc w:val="center"/>
            </w:pPr>
            <w:r/>
            <w:r>
              <w:rPr>
                <w:rFonts w:ascii="宋体" w:hAnsi="宋体" w:eastAsia="宋体"/>
                <w:b w:val="0"/>
                <w:color w:val="000000"/>
                <w:sz w:val="20"/>
              </w:rPr>
              <w:t>58.87</w:t>
            </w:r>
          </w:p>
        </w:tc>
        <w:tc>
          <w:tcPr>
            <w:tcW w:type="dxa" w:w="1495"/>
          </w:tcPr>
          <w:p>
            <w:pPr>
              <w:jc w:val="center"/>
            </w:pPr>
            <w:r/>
            <w:r>
              <w:rPr>
                <w:rFonts w:ascii="宋体" w:hAnsi="宋体" w:eastAsia="宋体"/>
                <w:b w:val="0"/>
                <w:color w:val="000000"/>
                <w:sz w:val="20"/>
              </w:rPr>
              <w:t>80.43</w:t>
            </w:r>
          </w:p>
        </w:tc>
      </w:tr>
      <w:tr>
        <w:tc>
          <w:tcPr>
            <w:tcW w:type="dxa" w:w="1495"/>
          </w:tcPr>
          <w:p>
            <w:pPr>
              <w:jc w:val="center"/>
            </w:pPr>
            <w:r/>
            <w:r>
              <w:rPr>
                <w:rFonts w:ascii="宋体" w:hAnsi="宋体" w:eastAsia="宋体"/>
                <w:b w:val="0"/>
                <w:color w:val="000000"/>
                <w:sz w:val="20"/>
              </w:rPr>
              <w:t>否</w:t>
            </w:r>
          </w:p>
        </w:tc>
        <w:tc>
          <w:tcPr>
            <w:tcW w:type="dxa" w:w="1495"/>
          </w:tcPr>
          <w:p>
            <w:pPr>
              <w:jc w:val="center"/>
            </w:pPr>
            <w:r/>
            <w:r>
              <w:rPr>
                <w:rFonts w:ascii="宋体" w:hAnsi="宋体" w:eastAsia="宋体"/>
                <w:b w:val="0"/>
                <w:color w:val="000000"/>
                <w:sz w:val="20"/>
              </w:rPr>
              <w:t>85.67</w:t>
            </w:r>
          </w:p>
        </w:tc>
        <w:tc>
          <w:tcPr>
            <w:tcW w:type="dxa" w:w="1495"/>
          </w:tcPr>
          <w:p>
            <w:pPr>
              <w:jc w:val="center"/>
            </w:pPr>
            <w:r/>
            <w:r>
              <w:rPr>
                <w:rFonts w:ascii="宋体" w:hAnsi="宋体" w:eastAsia="宋体"/>
                <w:b w:val="0"/>
                <w:color w:val="000000"/>
                <w:sz w:val="20"/>
              </w:rPr>
              <w:t>86.33</w:t>
            </w:r>
          </w:p>
        </w:tc>
        <w:tc>
          <w:tcPr>
            <w:tcW w:type="dxa" w:w="1495"/>
          </w:tcPr>
          <w:p>
            <w:pPr>
              <w:jc w:val="center"/>
            </w:pPr>
            <w:r/>
            <w:r>
              <w:rPr>
                <w:rFonts w:ascii="宋体" w:hAnsi="宋体" w:eastAsia="宋体"/>
                <w:b w:val="0"/>
                <w:color w:val="000000"/>
                <w:sz w:val="20"/>
              </w:rPr>
              <w:t>84.50</w:t>
            </w:r>
          </w:p>
        </w:tc>
        <w:tc>
          <w:tcPr>
            <w:tcW w:type="dxa" w:w="1495"/>
          </w:tcPr>
          <w:p>
            <w:pPr>
              <w:jc w:val="center"/>
            </w:pPr>
            <w:r/>
            <w:r>
              <w:rPr>
                <w:rFonts w:ascii="宋体" w:hAnsi="宋体" w:eastAsia="宋体"/>
                <w:b w:val="0"/>
                <w:color w:val="000000"/>
                <w:sz w:val="20"/>
              </w:rPr>
              <w:t>75.34</w:t>
            </w:r>
          </w:p>
        </w:tc>
        <w:tc>
          <w:tcPr>
            <w:tcW w:type="dxa" w:w="1495"/>
          </w:tcPr>
          <w:p>
            <w:pPr>
              <w:jc w:val="center"/>
            </w:pPr>
            <w:r/>
            <w:r>
              <w:rPr>
                <w:rFonts w:ascii="宋体" w:hAnsi="宋体" w:eastAsia="宋体"/>
                <w:b w:val="0"/>
                <w:color w:val="000000"/>
                <w:sz w:val="20"/>
              </w:rPr>
              <w:t>49.94</w:t>
            </w:r>
          </w:p>
        </w:tc>
        <w:tc>
          <w:tcPr>
            <w:tcW w:type="dxa" w:w="1495"/>
          </w:tcPr>
          <w:p>
            <w:pPr>
              <w:jc w:val="center"/>
            </w:pPr>
            <w:r/>
            <w:r>
              <w:rPr>
                <w:rFonts w:ascii="宋体" w:hAnsi="宋体" w:eastAsia="宋体"/>
                <w:b w:val="0"/>
                <w:color w:val="000000"/>
                <w:sz w:val="20"/>
              </w:rPr>
              <w:t>67.03</w:t>
            </w:r>
          </w:p>
        </w:tc>
      </w:tr>
    </w:tbl>
    <w:p>
      <w:pPr>
        <w:spacing w:line="360" w:lineRule="auto" w:after="0"/>
        <w:ind w:firstLine="420"/>
      </w:pPr>
      <w:r>
        <w:rPr>
          <w:rFonts w:ascii="宋体" w:hAnsi="宋体" w:eastAsia="宋体"/>
          <w:b w:val="0"/>
          <w:color w:val="000000"/>
          <w:sz w:val="24"/>
        </w:rPr>
        <w:t>表5-7显示了经过预训练和未经预训练的消融实验结果。从这些结果可以看出，经过预训练后的模型获得了更好的分类精度。无论是在休斯顿数据集上还是在密西西比大学数据集上，三个评价标准都得到了显著提升。这表明通过预训练能够为模型提供更好的特征初始表示，使其在后续的分类任务中更容易收敛并获得更高精度，充分证明了预训练的重要性。</w:t>
      </w:r>
    </w:p>
    <w:p>
      <w:pPr>
        <w:spacing w:after="120"/>
        <w:ind w:firstLine="0"/>
        <w:jc w:val="center"/>
      </w:pPr>
      <w:r>
        <w:rPr>
          <w:rFonts w:ascii="宋体" w:hAnsi="宋体" w:eastAsia="宋体"/>
          <w:b w:val="0"/>
          <w:color w:val="000000"/>
          <w:sz w:val="21"/>
        </w:rPr>
        <w:t>表5-8　关于对比学习分支和监督学习分支的消融实验结果 OA（%）</w:t>
      </w:r>
    </w:p>
    <w:tbl>
      <w:tblPr>
        <w:tblStyle w:val="af2"/>
        <w:tblW w:type="auto" w:w="0"/>
        <w:jc w:val="center"/>
        <w:tblLook w:firstColumn="1" w:firstRow="1" w:lastColumn="0" w:lastRow="0" w:noHBand="0" w:noVBand="1" w:val="04A0"/>
      </w:tblPr>
      <w:tblGrid>
        <w:gridCol w:w="2616"/>
        <w:gridCol w:w="2616"/>
        <w:gridCol w:w="2616"/>
        <w:gridCol w:w="2616"/>
      </w:tblGrid>
      <w:tr>
        <w:tc>
          <w:tcPr>
            <w:tcW w:type="dxa" w:w="2616"/>
          </w:tcPr>
          <w:p>
            <w:pPr>
              <w:jc w:val="center"/>
            </w:pPr>
            <w:r/>
            <w:r>
              <w:rPr>
                <w:rFonts w:ascii="宋体" w:hAnsi="宋体" w:eastAsia="宋体"/>
                <w:b/>
                <w:color w:val="000000"/>
                <w:sz w:val="20"/>
              </w:rPr>
              <w:t>是否对比学习</w:t>
            </w:r>
          </w:p>
        </w:tc>
        <w:tc>
          <w:tcPr>
            <w:tcW w:type="dxa" w:w="2616"/>
          </w:tcPr>
          <w:p>
            <w:pPr>
              <w:jc w:val="center"/>
            </w:pPr>
            <w:r/>
            <w:r>
              <w:rPr>
                <w:rFonts w:ascii="宋体" w:hAnsi="宋体" w:eastAsia="宋体"/>
                <w:b/>
                <w:color w:val="000000"/>
                <w:sz w:val="20"/>
              </w:rPr>
              <w:t>是否监督学习</w:t>
            </w:r>
          </w:p>
        </w:tc>
        <w:tc>
          <w:tcPr>
            <w:tcW w:type="dxa" w:w="2616"/>
          </w:tcPr>
          <w:p>
            <w:pPr>
              <w:jc w:val="center"/>
            </w:pPr>
            <w:r/>
            <w:r>
              <w:rPr>
                <w:rFonts w:ascii="宋体" w:hAnsi="宋体" w:eastAsia="宋体"/>
                <w:b/>
                <w:color w:val="000000"/>
                <w:sz w:val="20"/>
              </w:rPr>
              <w:t>休斯顿</w:t>
            </w:r>
          </w:p>
        </w:tc>
        <w:tc>
          <w:tcPr>
            <w:tcW w:type="dxa" w:w="2616"/>
          </w:tcPr>
          <w:p>
            <w:pPr>
              <w:jc w:val="center"/>
            </w:pPr>
            <w:r/>
            <w:r>
              <w:rPr>
                <w:rFonts w:ascii="宋体" w:hAnsi="宋体" w:eastAsia="宋体"/>
                <w:b/>
                <w:color w:val="000000"/>
                <w:sz w:val="20"/>
              </w:rPr>
              <w:t>密西西比大学</w:t>
            </w:r>
          </w:p>
        </w:tc>
      </w:tr>
      <w:tr>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89.93</w:t>
            </w:r>
          </w:p>
        </w:tc>
        <w:tc>
          <w:tcPr>
            <w:tcW w:type="dxa" w:w="2616"/>
          </w:tcPr>
          <w:p>
            <w:pPr>
              <w:jc w:val="center"/>
            </w:pPr>
            <w:r/>
            <w:r>
              <w:rPr>
                <w:rFonts w:ascii="宋体" w:hAnsi="宋体" w:eastAsia="宋体"/>
                <w:b w:val="0"/>
                <w:color w:val="000000"/>
                <w:sz w:val="20"/>
              </w:rPr>
              <w:t>84.63</w:t>
            </w:r>
          </w:p>
        </w:tc>
      </w:tr>
      <w:tr>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91.57</w:t>
            </w:r>
          </w:p>
        </w:tc>
        <w:tc>
          <w:tcPr>
            <w:tcW w:type="dxa" w:w="2616"/>
          </w:tcPr>
          <w:p>
            <w:pPr>
              <w:jc w:val="center"/>
            </w:pPr>
            <w:r/>
            <w:r>
              <w:rPr>
                <w:rFonts w:ascii="宋体" w:hAnsi="宋体" w:eastAsia="宋体"/>
                <w:b w:val="0"/>
                <w:color w:val="000000"/>
                <w:sz w:val="20"/>
              </w:rPr>
              <w:t>85.13</w:t>
            </w:r>
          </w:p>
        </w:tc>
      </w:tr>
      <w:tr>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84.27</w:t>
            </w:r>
          </w:p>
        </w:tc>
        <w:tc>
          <w:tcPr>
            <w:tcW w:type="dxa" w:w="2616"/>
          </w:tcPr>
          <w:p>
            <w:pPr>
              <w:jc w:val="center"/>
            </w:pPr>
            <w:r/>
            <w:r>
              <w:rPr>
                <w:rFonts w:ascii="宋体" w:hAnsi="宋体" w:eastAsia="宋体"/>
                <w:b w:val="0"/>
                <w:color w:val="000000"/>
                <w:sz w:val="20"/>
              </w:rPr>
              <w:t>81.44</w:t>
            </w:r>
          </w:p>
        </w:tc>
      </w:tr>
      <w:tr>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91.76</w:t>
            </w:r>
          </w:p>
        </w:tc>
        <w:tc>
          <w:tcPr>
            <w:tcW w:type="dxa" w:w="2616"/>
          </w:tcPr>
          <w:p>
            <w:pPr>
              <w:jc w:val="center"/>
            </w:pPr>
            <w:r/>
            <w:r>
              <w:rPr>
                <w:rFonts w:ascii="宋体" w:hAnsi="宋体" w:eastAsia="宋体"/>
                <w:b w:val="0"/>
                <w:color w:val="000000"/>
                <w:sz w:val="20"/>
              </w:rPr>
              <w:t>85.33</w:t>
            </w:r>
          </w:p>
        </w:tc>
      </w:tr>
    </w:tbl>
    <w:p>
      <w:pPr>
        <w:spacing w:line="360" w:lineRule="auto" w:after="0"/>
        <w:ind w:firstLine="420"/>
      </w:pPr>
      <w:r>
        <w:rPr>
          <w:rFonts w:ascii="宋体" w:hAnsi="宋体" w:eastAsia="宋体"/>
          <w:b w:val="0"/>
          <w:color w:val="000000"/>
          <w:sz w:val="24"/>
        </w:rPr>
        <w:t>从表5-8可以看出，无论是引入对比学习分支还是监督学习分支，都能够有效提升模型的分类精度。相比于未使用任何分支的情况，单独引入其中任意一种分支均能带来性能改善，而当两者同时结合时，模型表现进一步提升，取得了最优的分类结果。这表明对比学习与监督学习在特征表示和类别判别上具有互补优势，其协同作用能够显著增强模型在多模态遥感分类任务中的性能。</w:t>
      </w:r>
    </w:p>
    <w:p>
      <w:pPr>
        <w:spacing w:before="80" w:after="40"/>
        <w:ind w:firstLine="0"/>
      </w:pPr>
      <w:r>
        <w:rPr>
          <w:rFonts w:ascii="黑体" w:hAnsi="黑体" w:eastAsia="黑体"/>
          <w:b/>
          <w:color w:val="000000"/>
          <w:sz w:val="26"/>
        </w:rPr>
        <w:t>5.1.4.4 参数分析</w:t>
      </w:r>
    </w:p>
    <w:p>
      <w:pPr>
        <w:spacing w:line="360" w:lineRule="auto" w:after="0"/>
        <w:ind w:firstLine="420"/>
      </w:pPr>
      <w:r>
        <w:rPr>
          <w:rFonts w:ascii="宋体" w:hAnsi="宋体" w:eastAsia="宋体"/>
          <w:b w:val="0"/>
          <w:color w:val="000000"/>
          <w:sz w:val="24"/>
        </w:rPr>
        <w:t>针对遮蔽比例p对SC-MSS-MTr的影响，探究了在不同遮蔽比例下，模型的性能变化。图5-9显示了SC-MSS-MTr使用不同遮蔽比例p时获得的总体精度。可以看出，较大的遮蔽比例会取得更好的精度，与此同时，总体精度对遮蔽比例的变化并不敏感。为了平衡精度和计算负担，在实验中将遮蔽比例p设置为80%。</w:t>
      </w:r>
    </w:p>
    <w:p>
      <w:pPr>
        <w:spacing w:before="120" w:after="0"/>
        <w:ind w:firstLine="0"/>
        <w:jc w:val="center"/>
      </w:pPr>
      <w:r>
        <w:rPr>
          <w:rFonts w:ascii="宋体" w:hAnsi="宋体" w:eastAsia="宋体"/>
          <w:b w:val="0"/>
          <w:color w:val="000000"/>
          <w:sz w:val="24"/>
        </w:rPr>
        <w:t>[图 5-9 占位]</w:t>
      </w:r>
    </w:p>
    <w:p>
      <w:pPr>
        <w:spacing w:after="120"/>
        <w:ind w:firstLine="0"/>
        <w:jc w:val="center"/>
      </w:pPr>
      <w:r>
        <w:rPr>
          <w:rFonts w:ascii="宋体" w:hAnsi="宋体" w:eastAsia="宋体"/>
          <w:b w:val="0"/>
          <w:color w:val="000000"/>
          <w:sz w:val="21"/>
        </w:rPr>
        <w:t>图5-9　不同遮蔽比例下分类精度</w:t>
      </w:r>
    </w:p>
    <w:p>
      <w:pPr>
        <w:spacing w:line="360" w:lineRule="auto" w:after="0"/>
        <w:ind w:firstLine="420"/>
      </w:pPr>
      <w:r>
        <w:rPr>
          <w:rFonts w:ascii="宋体" w:hAnsi="宋体" w:eastAsia="宋体"/>
          <w:b w:val="0"/>
          <w:color w:val="000000"/>
          <w:sz w:val="24"/>
        </w:rPr>
        <w:t>最后，分析了监督分类损失的权重系数λ和对比学习损失的权重系数γ。首先固定γ，分析不同λ对分类结果的影响。如图5-10所示，可以看出，λ值过大或过小都会导致分类效果不佳。结果表明λ设置为0.02效果最佳。</w:t>
      </w:r>
    </w:p>
    <w:p>
      <w:pPr>
        <w:spacing w:before="120" w:after="0"/>
        <w:ind w:firstLine="0"/>
        <w:jc w:val="center"/>
      </w:pPr>
      <w:r>
        <w:rPr>
          <w:rFonts w:ascii="宋体" w:hAnsi="宋体" w:eastAsia="宋体"/>
          <w:b w:val="0"/>
          <w:color w:val="000000"/>
          <w:sz w:val="24"/>
        </w:rPr>
        <w:t>[图 5-10 占位]</w:t>
      </w:r>
    </w:p>
    <w:p>
      <w:pPr>
        <w:spacing w:after="120"/>
        <w:ind w:firstLine="0"/>
        <w:jc w:val="center"/>
      </w:pPr>
      <w:r>
        <w:rPr>
          <w:rFonts w:ascii="宋体" w:hAnsi="宋体" w:eastAsia="宋体"/>
          <w:b w:val="0"/>
          <w:color w:val="000000"/>
          <w:sz w:val="21"/>
        </w:rPr>
        <w:t>图5-10　不同的λ值对SC-MSS-MTr的影响</w:t>
      </w:r>
    </w:p>
    <w:p>
      <w:pPr>
        <w:spacing w:line="360" w:lineRule="auto" w:after="0"/>
        <w:ind w:firstLine="420"/>
      </w:pPr>
      <w:r>
        <w:rPr>
          <w:rFonts w:ascii="宋体" w:hAnsi="宋体" w:eastAsia="宋体"/>
          <w:b w:val="0"/>
          <w:color w:val="000000"/>
          <w:sz w:val="24"/>
        </w:rPr>
        <w:t>找到最佳的λ后，固定权重系数，再分析不同γ对模型性能的影响。图5-11显示了随着不同γ值对应的总体精度。与之前实验中对λ的分析一样，γ值的设置也不能过大或过小。最佳值为0.002。</w:t>
      </w:r>
    </w:p>
    <w:p>
      <w:pPr>
        <w:spacing w:before="120" w:after="0"/>
        <w:ind w:firstLine="0"/>
        <w:jc w:val="center"/>
      </w:pPr>
      <w:r>
        <w:rPr>
          <w:rFonts w:ascii="宋体" w:hAnsi="宋体" w:eastAsia="宋体"/>
          <w:b w:val="0"/>
          <w:color w:val="000000"/>
          <w:sz w:val="24"/>
        </w:rPr>
        <w:t>[图 5-11 占位]</w:t>
      </w:r>
    </w:p>
    <w:p>
      <w:pPr>
        <w:spacing w:after="120"/>
        <w:ind w:firstLine="0"/>
        <w:jc w:val="center"/>
      </w:pPr>
      <w:r>
        <w:rPr>
          <w:rFonts w:ascii="宋体" w:hAnsi="宋体" w:eastAsia="宋体"/>
          <w:b w:val="0"/>
          <w:color w:val="000000"/>
          <w:sz w:val="21"/>
        </w:rPr>
        <w:t>图5-11　不同的γ值对SC-MSS-MTr的影响</w:t>
      </w:r>
    </w:p>
    <w:p w14:paraId="54409D65" w14:textId="108608F3" w:rsidR="00A6301B" w:rsidRPr="00A6301B" w:rsidRDefault="00A6301B" w:rsidP="00C7003B">
      <w:pPr>
        <w:ind w:firstLine="480"/>
      </w:pPr>
      <w:r w:rsidRPr="00A6301B">
        <w:rPr>
          <w:rFonts w:hint="eastAsia" w:ascii="宋体" w:hAnsi="宋体" w:eastAsia="宋体"/>
          <w:sz w:val="24"/>
        </w:rPr>
        <w:t>表1显示了两个未知类别情况下的各方法平均分类结果。从表中可见，所有对比方法对已知类别均保持了较高的分类精度，但方法间存在一定差距。Houston数据集上，UNet的S(oa)=97.58%、S(aa)=97.72%，在对比方法中最高；ExViT紧随其后，S(oa)和S(aa)均为97.47%。MUUFL上UNet同样最优，S(oa)=97.18%、S(aa)=87.01%。Berlin上UNet的S(oa)=96.74%、S(aa)=92.90%。NCGLF2在部分数据集上略低（Houston S(oa)=93.15%，Berlin S(aa)=82.34%），该方法侧重跨模态对比学习，可能在已知类判别特征的精细建模上存在一定折损。</w:t>
        <w:br/>
        <w:t>然而，所有对比方法在三个数据集上的U(oa)和U(aa)均为零，对应的H(oa)和H(aa)也为零。这些方法的训练仅依赖已知类监督标签，在缺乏外部语义知识辅助时，无法对未见类别产生有效的分类响应。这一现象与已有文献一致：传统监督范式的性能严格受限于训练集的标签空间。</w:t>
      </w:r>
      <w:r w:rsidRPr="00A6301B">
        <w:rPr>
          <w:rFonts w:hint="eastAsia"/>
        </w:rPr>
      </w:r>
      <w:r w:rsidRPr="00A6301B">
        <w:rPr>
          <w:rFonts w:hint="eastAsia"/>
        </w:rPr>
      </w:r>
      <w:r w:rsidR="00C7003B">
        <w:rPr>
          <w:rFonts w:hint="eastAsia"/>
        </w:rPr>
      </w:r>
      <w:proofErr w:type="gramStart"/>
      <w:r w:rsidR="00C7003B">
        <w:rPr>
          <w:rFonts w:hint="eastAsia"/>
        </w:rPr>
      </w:r>
      <w:r w:rsidRPr="00A6301B">
        <w:rPr>
          <w:rFonts w:hint="eastAsia"/>
        </w:rPr>
      </w:r>
      <w:proofErr w:type="gramEnd"/>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757394">
        <w:rPr>
          <w:rFonts w:hint="eastAsia"/>
        </w:rPr>
      </w:r>
      <w:r w:rsidRPr="00A6301B">
        <w:rPr>
          <w:rFonts w:hint="eastAsia"/>
        </w:rPr>
      </w:r>
    </w:p>
    <w:p w14:paraId="6F384737" w14:textId="4A6BBA6E" w:rsidR="00A6301B" w:rsidRPr="00A6301B" w:rsidRDefault="00A6301B" w:rsidP="004D1C85">
      <w:pPr>
        <w:ind w:firstLine="480"/>
      </w:pPr>
      <w:r w:rsidRPr="00A6301B">
        <w:rPr>
          <w:rFonts w:hint="eastAsia" w:ascii="宋体" w:hAnsi="宋体" w:eastAsia="宋体"/>
          <w:sz w:val="24"/>
        </w:rPr>
        <w:t>UC方法在三个数据集上均表现出对未知类的识别能力。Houston上U(oa)=62.70%，U(aa)=39.45%，H(oa)=71.90%。MUUFL上表现最为突出，U(oa)=74.16%，U(aa)=71.20%，H(oa)=78.74%，推测与该数据集类别命名更贴近日常用语、CLIP伪标签初始质量较高有关。Berlin上的未知类精度最低，U(oa)=48.33%，U(aa)=33.68%，H(oa)=63.96%，SAR图像的散射机理与CLIP光学先验之间存在本质差异，加之部分类别名称（如allotment）在CLIP训练语料中出现频率低，均限制了伪标签质量。</w:t>
        <w:br/>
        <w:t>引入未知类分类机制对已知类产生了不同程度的影响。Houston上UC的S(oa)=84.34%，较UNet（97.58%）下降约13个百分点；MUUFL上降幅相当（UC 84.01% vs UNet 97.18%）。Berlin上已知类降幅最小，UC的S(oa)=94.70%，与UNet（96.74%）仅差约2个百分点，可能与该数据集类别总数较少（8类）、类间特征重叠度相对较低有关。</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6FBDD719" w14:textId="153BBA0E" w:rsidR="00A6301B" w:rsidRDefault="00A6301B" w:rsidP="004D1C85">
      <w:pPr>
        <w:ind w:firstLine="480"/>
      </w:pPr>
      <w:r w:rsidRPr="00A6301B">
        <w:rPr>
          <w:rFonts w:hint="eastAsia" w:ascii="宋体" w:hAnsi="宋体" w:eastAsia="宋体"/>
          <w:sz w:val="24"/>
        </w:rPr>
        <w:t>三个数据集的性能排序（MUUFL &gt; Houston &gt; Berlin）与以下因素有关。MUUFL的11个类别均为常见地物，与CLIP预训练数据的语义覆盖高度重合。Houston虽然类别最多（15类）、类间相似度较高（如多种草地亚类），但LiDAR辅助模态提供了高程补充信息，最终H(oa)=71.90%。Berlin面临SAR与CLIP光学先验之间的领域鸿沟，且部分类别术语在通用语义空间中对应模糊，H(oa)仅63.96%。尽管如此，UC是所有方法中唯一能在零样本设置下对未知类产生有效分类结果的模型。</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gramStart"/>
      <w:r w:rsidRPr="00A6301B">
        <w:rPr>
          <w:rFonts w:hint="eastAsia"/>
        </w:rPr>
      </w:r>
      <w:r w:rsidR="00B72633">
        <w:rPr>
          <w:rFonts w:hint="eastAsia"/>
        </w:rPr>
      </w:r>
      <w:proofErr w:type="gramEnd"/>
      <w:r w:rsidR="00B72633">
        <w:rPr>
          <w:rFonts w:hint="eastAsia"/>
        </w:rPr>
      </w:r>
      <w:r w:rsidR="00B72633">
        <w:rPr>
          <w:rFonts w:hint="eastAsia"/>
        </w:rPr>
      </w:r>
      <w:r w:rsidR="00B72633">
        <w:rPr>
          <w:rFonts w:hint="eastAsia"/>
        </w:rPr>
      </w:r>
      <w:r w:rsidR="00B72633">
        <w:rPr>
          <w:rFonts w:hint="eastAsia"/>
        </w:rPr>
      </w:r>
      <w:r w:rsidR="00B72633" w:rsidRPr="00A6301B">
        <w:rPr>
          <w:rFonts w:hint="eastAsia"/>
        </w:rPr>
      </w:r>
      <w:r w:rsidR="00B72633">
        <w:rPr>
          <w:rFonts w:hint="eastAsia"/>
        </w:rPr>
      </w:r>
      <w:r w:rsidR="00B72633">
        <w:rPr>
          <w:rFonts w:hint="eastAsia"/>
        </w:rPr>
      </w:r>
      <w:r w:rsidR="00B72633">
        <w:rPr>
          <w:rFonts w:hint="eastAsia"/>
        </w:rPr>
      </w:r>
      <w:r w:rsidR="00B72633">
        <w:rPr>
          <w:rFonts w:hint="eastAsia"/>
        </w:rPr>
      </w:r>
      <w:proofErr w:type="spellStart"/>
      <w:r w:rsidR="00B72633">
        <w:rPr>
          <w:rFonts w:hint="eastAsia"/>
        </w:rPr>
      </w:r>
      <w:proofErr w:type="spellEnd"/>
      <w:r w:rsidR="00B72633">
        <w:rPr>
          <w:rFonts w:hint="eastAsia"/>
        </w:rPr>
      </w:r>
      <w:r w:rsidR="00B72633">
        <w:rPr>
          <w:rFonts w:hint="eastAsia"/>
        </w:rPr>
      </w:r>
      <w:r w:rsidR="00B72633">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ascii="宋体" w:hAnsi="宋体" w:eastAsia="宋体"/>
          <w:sz w:val="24"/>
        </w:rPr>
        <w:t>图1至图3分别展示了Houston、MUUFL和Berlin三个数据集上，UC方法在所有两两未知类别组合下的分类精度。可以看到，不同类别组合之间的性能差距十分悬殊——从近乎完全失效到高精度识别均有分布。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3D0D1A" w14:textId="3248CFD2" w:rsidR="00F047B9" w:rsidRDefault="000267D0" w:rsidP="007637FF">
      <w:pPr>
        <w:ind w:firstLine="480"/>
        <w:rPr>
          <w:rFonts w:hint="eastAsia"/>
        </w:rPr>
      </w:pPr>
      <w:r>
        <w:rPr>
          <w:rFonts w:hint="eastAsia" w:ascii="宋体" w:hAnsi="宋体" w:eastAsia="宋体"/>
          <w:sz w:val="24"/>
        </w:rPr>
        <w:t>Houston数据集上，表现较好的组合包括"受压草地"（第2类）与"高速公路"（第10类）（U(aa)=69.78%，H(aa)=76.62%）、"商业建筑"（第8类）与"铁路"（第11类）（U(aa)=76.43%，H(aa)=76.43%）。这两组未知类在视觉形态上差异显著——草地绿色纹理vs高速公路灰色线性、建筑块状结构vs铁路细长线性——CLIP的语义匹配相对准确。相比之下，"网球场"（第14类）几乎在所有涉及它的组合中均导致模型失效：与健康草地、土壤、人造草地组合时U(aa)均不足1%。网球场在高分辨率遥感图像中呈现为绿色矩形区域，纹理和色调与草地类高度相似。类似困难也出现在公路与铁路的组合（U(aa)=2.69%，H(aa)=5.21%），两类灰色线性地物的光谱和空间特征重叠严重。</w:t>
        <w:br/>
        <w:t>MUUFL数据集上的整体表现优于Houston。树木与泥沙地组合取得了U(aa)=82.78%、H(aa)=74.77%的较好结果。但"混合地表"（第3类）成为主要难点：与水体、人行道、黄色路缘组合时U(aa)分别仅9.52%、2.10%、1.75%。该类别本身定义模糊，涵盖了多种地表覆盖类型，CLIP难以建立一致的语义映射。水体作为未知类时同样表现不佳——与人行道组合U(aa)=6.17%，与黄色路缘组合U(aa)=4.50%。水体在LiDAR中呈现独特的低反射特征，这一物理特性在CLIP的光学视觉表征中无法得到有效表达。</w:t>
        <w:br/>
        <w:t>Berlin数据集最具挑战性。表现相对最好的组合是"低矮植物"（第4类）与"土壤"（第5类）（U(aa)=37.77%，H(aa)=52.38%），以及"工业区"（第3类）与"土壤"（第5类）（U(aa)=35.28%，H(aa)=49.93%）。土壤在SAR图像中的散射特性相对稳定。居住区在多数组合中均表现较差——与低矮植物、家庭菜园、商业区组合时U(aa)分别为8.18%、1.60%、2.33%。居住区在SAR图像中的散射纹理与工业区、商业区等建成区高度重叠，加之"residential area"在CLIP语义空间中缺乏具象的视觉锚点。最极端的情况出现在家庭菜园与商业区组合（U(aa)=0.25%，H(aa)=0.50%），"allotment"在日常英语中使用频率极低，CLIP训练数据中可能极少存在对应的遥感图像-文本对。</w:t>
      </w:r>
      <w:r w:rsidR="00F047B9">
        <w:rPr>
          <w:rFonts w:hint="eastAsia"/>
        </w:rPr>
      </w:r>
      <w:r w:rsidR="00F047B9">
        <w:rPr>
          <w:rFonts w:hint="eastAsia"/>
        </w:rPr>
      </w:r>
      <w:r>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7637FF">
        <w:rPr>
          <w:rFonts w:hint="eastAsia"/>
        </w:rPr>
      </w:r>
      <w:r w:rsidR="00F047B9">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sidR="00206595">
        <w:rPr>
          <w:rFonts w:hint="eastAsia"/>
        </w:rPr>
      </w:r>
      <w:r>
        <w:rPr>
          <w:rFonts w:hint="eastAsia"/>
        </w:rPr>
      </w:r>
      <w:r w:rsidR="00206595">
        <w:rPr>
          <w:rFonts w:hint="eastAsia"/>
        </w:rPr>
      </w:r>
    </w:p>
    <w:p w14:paraId="5ACAFEA5" w14:textId="2905E1FB" w:rsidR="002E179A" w:rsidRDefault="0099730A" w:rsidP="0099730A">
      <w:pPr>
        <w:ind w:firstLine="480"/>
      </w:pPr>
      <w:r>
        <w:rPr>
          <w:rFonts w:hint="eastAsia" w:ascii="宋体" w:hAnsi="宋体" w:eastAsia="宋体"/>
          <w:sz w:val="24"/>
        </w:rPr>
        <w:t>上述结果表明，零样本分类性能受多重因素共同制约。未知类别之间的视觉区分度影响最为直接——形态和光谱差异越大，CLIP语义匹配越准确。类别名称的语义具象程度同样不可忽视：混合地表（mixed ground surface）、家庭菜园（allotment）等抽象或罕见的命名，使CLIP难以在遥感图像中建立稳定的语义对应。此外，辅助模态与CLIP光学先验之间的领域差异是影响伪标签质量的重要外部因素——LiDAR在视觉表征上与光学图像尚有一定共通性，而SAR的散射成像机理与光学遥感相去甚远，由此造成的领域鸿沟显著拉低了Berlin上的整体性能。</w:t>
      </w:r>
      <w:r>
        <w:rPr>
          <w:rFonts w:hint="eastAsia"/>
        </w:rPr>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2E179A">
        <w:rPr>
          <w:rFonts w:hint="eastAsia"/>
        </w:rPr>
      </w:r>
    </w:p>
    <w:p w14:paraId="1ECF2149" w14:textId="546D6F9B" w:rsidR="00A654DE" w:rsidRPr="003E3F9B" w:rsidRDefault="008601CE" w:rsidP="009A5EE2">
      <w:pPr>
        <w:ind w:firstLine="480"/>
        <w:rPr>
          <w:rFonts w:eastAsia="等线"/>
          <w:noProof/>
          <w:kern w:val="0"/>
          <w:sz w:val="20"/>
        </w:rPr>
      </w:pPr>
      <w:r>
        <w:rPr>
          <w:noProof/>
        </w:rPr>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3B5F5011" w:rsidR="00B71FF8" w:rsidRDefault="00B71FF8" w:rsidP="00B71FF8">
      <w:pPr>
        <w:ind w:firstLine="480"/>
      </w:pPr>
      <w:r>
        <w:rPr>
          <w:rFonts w:hint="eastAsia" w:ascii="宋体" w:hAnsi="宋体" w:eastAsia="宋体"/>
          <w:sz w:val="24"/>
        </w:rPr>
        <w:t>表2至表4展示了三个数据集上选定未知类别组合的逐类精度。传统方法（ExViT、MFT）在所有组合中对未知类的精度均为零，因其不具备利用外部语义知识进行零样本推理的机制。UC方法在不同组合下的表现分化明显，以下选择若干典型组合进行分析。</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sidR="00206595">
        <w:rPr>
          <w:rFonts w:hint="eastAsia"/>
        </w:rPr>
      </w:r>
      <w:r>
        <w:rPr>
          <w:rFonts w:hint="eastAsia"/>
        </w:rPr>
      </w:r>
      <w:r>
        <w:rPr>
          <w:rFonts w:hint="eastAsia"/>
        </w:rPr>
      </w:r>
      <w:r>
        <w:rPr>
          <w:rFonts w:hint="eastAsia"/>
        </w:rPr>
      </w:r>
    </w:p>
    <w:p w14:paraId="384F317F" w14:textId="0A7BE2F1" w:rsidR="00B71FF8" w:rsidRDefault="00B71FF8" w:rsidP="00603483">
      <w:pPr>
        <w:ind w:firstLine="480"/>
      </w:pPr>
      <w:r>
        <w:rPr>
          <w:rFonts w:hint="eastAsia" w:ascii="宋体" w:hAnsi="宋体" w:eastAsia="宋体"/>
          <w:sz w:val="24"/>
        </w:rPr>
        <w:t>Houston数据集上，"被压草"（第2类）与"高速路"（第10类）组合的H(aa)=76.79%，两类地物视觉差异显著，CLIP语义匹配较为准确。但"树木"（第4类）与"商业区"（第8类）组合的H(aa)仅43.15%，且高速公路作为已知类的精度降至8.20%，说明未知类伪标签中的噪声通过光谱修正环节波及了视觉相似的已知类。"铁路"（第11类）与"跑道"（第15类）组合的H(aa)=70.16%，虽然两类均为灰色线性结构，但空间上下文差异（铁路贯穿多区域、跑道局限于固定场地）为区分提供了线索。ExViT和MFT在已知类上均保持90%以上精度（如(4,8)组合下ExViT对居民区达97.49%），其瓶颈完全在于缺乏零样本分类机制。</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EB0E98">
        <w:rPr>
          <w:rFonts w:hint="eastAsia"/>
        </w:rPr>
      </w:r>
      <w:r>
        <w:rPr>
          <w:rFonts w:hint="eastAsia"/>
        </w:rPr>
      </w:r>
      <w:r>
        <w:rPr>
          <w:rFonts w:hint="eastAsia"/>
        </w:rPr>
      </w:r>
      <w:r w:rsidR="00EB0E98">
        <w:rPr>
          <w:rFonts w:hint="eastAsia"/>
        </w:rPr>
      </w:r>
      <w:r>
        <w:rPr>
          <w:rFonts w:hint="eastAsia"/>
        </w:rPr>
      </w:r>
      <w:r>
        <w:rPr>
          <w:rFonts w:hint="eastAsia"/>
        </w:rPr>
      </w:r>
      <w:r>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Pr>
          <w:rFonts w:hint="eastAsia"/>
        </w:rPr>
      </w:r>
      <w:r w:rsidR="00603483">
        <w:rPr>
          <w:rFonts w:hint="eastAsia"/>
        </w:rPr>
      </w:r>
      <w:r>
        <w:rPr>
          <w:rFonts w:hint="eastAsia"/>
        </w:rPr>
      </w:r>
      <w:r>
        <w:rPr>
          <w:rFonts w:hint="eastAsia"/>
        </w:rPr>
      </w:r>
      <w:r>
        <w:rPr>
          <w:rFonts w:hint="eastAsia"/>
        </w:rPr>
      </w:r>
      <w:r w:rsidR="00603483">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sidR="009543CA">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05D002F" w14:textId="2E0B401C" w:rsidR="00A654DE" w:rsidRDefault="00A654DE" w:rsidP="00A654DE">
      <w:pPr>
        <w:ind w:firstLine="480"/>
        <w:jc w:val="center"/>
      </w:pPr>
      <w:r>
        <w:rPr>
          <w:rFonts w:hint="eastAsia"/>
        </w:rPr>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9.5pt" o:ole="">
                  <v:imagedata r:id="rId12" o:title=""/>
                </v:shape>
                <o:OLEObject Type="Embed" ProgID="Visio.Drawing.15" ShapeID="_x0000_i1025" DrawAspect="Content" ObjectID="_1840215296"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20pt;height:9.5pt" o:ole="">
                  <v:imagedata r:id="rId14" o:title=""/>
                </v:shape>
                <o:OLEObject Type="Embed" ProgID="Visio.Drawing.15" ShapeID="_x0000_i1026" DrawAspect="Content" ObjectID="_1840215297"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20pt;height:9.5pt" o:ole="">
                  <v:imagedata r:id="rId16" o:title=""/>
                </v:shape>
                <o:OLEObject Type="Embed" ProgID="Visio.Drawing.15" ShapeID="_x0000_i1027" DrawAspect="Content" ObjectID="_1840215298"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20pt;height:9.5pt" o:ole="">
                  <v:imagedata r:id="rId18" o:title=""/>
                </v:shape>
                <o:OLEObject Type="Embed" ProgID="Visio.Drawing.15" ShapeID="_x0000_i1028" DrawAspect="Content" ObjectID="_1840215299"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20pt;height:9.5pt" o:ole="">
                  <v:imagedata r:id="rId20" o:title=""/>
                </v:shape>
                <o:OLEObject Type="Embed" ProgID="Visio.Drawing.15" ShapeID="_x0000_i1029" DrawAspect="Content" ObjectID="_1840215300"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20pt;height:9.5pt" o:ole="">
                  <v:imagedata r:id="rId22" o:title=""/>
                </v:shape>
                <o:OLEObject Type="Embed" ProgID="Visio.Drawing.15" ShapeID="_x0000_i1030" DrawAspect="Content" ObjectID="_1840215301"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20pt;height:9.5pt" o:ole="">
                  <v:imagedata r:id="rId24" o:title=""/>
                </v:shape>
                <o:OLEObject Type="Embed" ProgID="Visio.Drawing.15" ShapeID="_x0000_i1031" DrawAspect="Content" ObjectID="_1840215302"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20pt;height:9.5pt" o:ole="">
                  <v:imagedata r:id="rId26" o:title=""/>
                </v:shape>
                <o:OLEObject Type="Embed" ProgID="Visio.Drawing.15" ShapeID="_x0000_i1032" DrawAspect="Content" ObjectID="_1840215303"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20pt;height:9.5pt" o:ole="">
                  <v:imagedata r:id="rId28" o:title=""/>
                </v:shape>
                <o:OLEObject Type="Embed" ProgID="Visio.Drawing.15" ShapeID="_x0000_i1033" DrawAspect="Content" ObjectID="_1840215304"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20pt;height:9.5pt" o:ole="">
                  <v:imagedata r:id="rId30" o:title=""/>
                </v:shape>
                <o:OLEObject Type="Embed" ProgID="Visio.Drawing.15" ShapeID="_x0000_i1034" DrawAspect="Content" ObjectID="_1840215305"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20pt;height:9.5pt" o:ole="">
                  <v:imagedata r:id="rId32" o:title=""/>
                </v:shape>
                <o:OLEObject Type="Embed" ProgID="Visio.Drawing.15" ShapeID="_x0000_i1035" DrawAspect="Content" ObjectID="_1840215306"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20pt;height:9.5pt" o:ole="">
                  <v:imagedata r:id="rId34" o:title=""/>
                </v:shape>
                <o:OLEObject Type="Embed" ProgID="Visio.Drawing.15" ShapeID="_x0000_i1036" DrawAspect="Content" ObjectID="_1840215307"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20pt;height:9.5pt" o:ole="">
                  <v:imagedata r:id="rId36" o:title=""/>
                </v:shape>
                <o:OLEObject Type="Embed" ProgID="Visio.Drawing.15" ShapeID="_x0000_i1037" DrawAspect="Content" ObjectID="_1840215308"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20pt;height:9pt" o:ole="">
                  <v:imagedata r:id="rId38" o:title=""/>
                </v:shape>
                <o:OLEObject Type="Embed" ProgID="Visio.Drawing.15" ShapeID="_x0000_i1038" DrawAspect="Content" ObjectID="_1840215309"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20pt;height:9pt" o:ole="">
                  <v:imagedata r:id="rId40" o:title=""/>
                </v:shape>
                <o:OLEObject Type="Embed" ProgID="Visio.Drawing.15" ShapeID="_x0000_i1039" DrawAspect="Content" ObjectID="_1840215310"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6FE84C8F" w:rsidR="00A654DE" w:rsidRDefault="009543CA" w:rsidP="00603483">
      <w:pPr>
        <w:ind w:firstLine="480"/>
      </w:pPr>
      <w:r>
        <w:rPr>
          <w:rFonts w:hint="eastAsia" w:ascii="宋体" w:hAnsi="宋体" w:eastAsia="宋体"/>
          <w:sz w:val="24"/>
        </w:rPr>
        <w:t>MUUFL数据集上，"树木"（第1类）与"水"（第6类）组合中水体精度为0%——水体在LiDAR近红外波段的强吸收导致回波缺失，与CLIP基于光学图像学到的水体表征严重失配。"以草地为主"（第2类）与"黄色路缘"（第10类）组合中黄路缘精度为0%，其像素占比极小，超像素分割难以独立提取。"裸土和沙地"（第4类）与"布制覆盖板"（第11类）组合中布制覆盖板同样为0%，该地物在CLIP训练数据中几乎不存在对应的图像-文本对。已知类方面，UC在建筑和公路上的精度分别为86.84%和82.49%，仍低于ExViT（98.01%）和MFT（97.07%）。</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0261C">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FC0D3" w14:textId="00A7338D" w:rsidR="00A654DE" w:rsidRDefault="00A654DE" w:rsidP="00A654DE">
      <w:pPr>
        <w:ind w:firstLine="480"/>
        <w:jc w:val="center"/>
      </w:pPr>
      <w:r>
        <w:rPr>
          <w:rFonts w:hint="eastAsia"/>
        </w:rPr>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20pt;height:9.5pt" o:ole="">
                  <v:imagedata r:id="rId12" o:title=""/>
                </v:shape>
                <o:OLEObject Type="Embed" ProgID="Visio.Drawing.15" ShapeID="_x0000_i1040" DrawAspect="Content" ObjectID="_1840215311"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20pt;height:9.5pt" o:ole="">
                  <v:imagedata r:id="rId14" o:title=""/>
                </v:shape>
                <o:OLEObject Type="Embed" ProgID="Visio.Drawing.15" ShapeID="_x0000_i1041" DrawAspect="Content" ObjectID="_1840215312"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20pt;height:9.5pt" o:ole="">
                  <v:imagedata r:id="rId16" o:title=""/>
                </v:shape>
                <o:OLEObject Type="Embed" ProgID="Visio.Drawing.15" ShapeID="_x0000_i1042" DrawAspect="Content" ObjectID="_1840215313"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20pt;height:9.5pt" o:ole="">
                  <v:imagedata r:id="rId18" o:title=""/>
                </v:shape>
                <o:OLEObject Type="Embed" ProgID="Visio.Drawing.15" ShapeID="_x0000_i1043" DrawAspect="Content" ObjectID="_1840215314"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20pt;height:9.5pt" o:ole="">
                  <v:imagedata r:id="rId20" o:title=""/>
                </v:shape>
                <o:OLEObject Type="Embed" ProgID="Visio.Drawing.15" ShapeID="_x0000_i1044" DrawAspect="Content" ObjectID="_1840215315"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20pt;height:9.5pt" o:ole="">
                  <v:imagedata r:id="rId22" o:title=""/>
                </v:shape>
                <o:OLEObject Type="Embed" ProgID="Visio.Drawing.15" ShapeID="_x0000_i1045" DrawAspect="Content" ObjectID="_1840215316"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20pt;height:9.5pt" o:ole="">
                  <v:imagedata r:id="rId24" o:title=""/>
                </v:shape>
                <o:OLEObject Type="Embed" ProgID="Visio.Drawing.15" ShapeID="_x0000_i1046" DrawAspect="Content" ObjectID="_1840215317"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20pt;height:9.5pt" o:ole="">
                  <v:imagedata r:id="rId26" o:title=""/>
                </v:shape>
                <o:OLEObject Type="Embed" ProgID="Visio.Drawing.15" ShapeID="_x0000_i1047" DrawAspect="Content" ObjectID="_1840215318"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20pt;height:9.5pt" o:ole="">
                  <v:imagedata r:id="rId28" o:title=""/>
                </v:shape>
                <o:OLEObject Type="Embed" ProgID="Visio.Drawing.15" ShapeID="_x0000_i1048" DrawAspect="Content" ObjectID="_1840215319"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20pt;height:9.5pt" o:ole="">
                  <v:imagedata r:id="rId30" o:title=""/>
                </v:shape>
                <o:OLEObject Type="Embed" ProgID="Visio.Drawing.15" ShapeID="_x0000_i1049" DrawAspect="Content" ObjectID="_1840215320"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20pt;height:9.5pt" o:ole="">
                  <v:imagedata r:id="rId32" o:title=""/>
                </v:shape>
                <o:OLEObject Type="Embed" ProgID="Visio.Drawing.15" ShapeID="_x0000_i1050" DrawAspect="Content" ObjectID="_1840215321"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7AA39E5B" w:rsidR="0090261C" w:rsidRDefault="0090261C" w:rsidP="0090261C">
      <w:pPr>
        <w:ind w:firstLine="480"/>
      </w:pPr>
      <w:r>
        <w:rPr>
          <w:rFonts w:hint="eastAsia" w:ascii="宋体" w:hAnsi="宋体" w:eastAsia="宋体"/>
          <w:sz w:val="24"/>
        </w:rPr>
        <w:t>Berlin数据集上，"土壤"（第5类）与"家庭菜园"（第6类）组合的OA达91.59%，但家庭菜园精度为0%。"土壤"（第5类）与"水"（第8类）组合中，水体同样为0%。水体和家庭菜园在SAR图像中均缺乏稳定的散射特征——水体镜面反射的低回波易与平整裸地混淆，家庭菜园的体散射与森林等植被高度重叠。两者的共同症结在于CLIP缺乏对SAR成像机制的物理感知。"森林"（第1类）与"家庭菜园"（第6类）组合中UC的OA降至86.30%，森林精度仅36.93%。(5,6)组合下UC在居民区和工业区上的已知类精度均超90%，但两个未知类分别为66.72%和0%，性能落差完全源于CLIP伪标签在特定类别上的质量缺陷。</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805B865" w14:textId="23F0E2D8" w:rsidR="00A654DE" w:rsidRDefault="0090261C" w:rsidP="0090261C">
      <w:pPr>
        <w:ind w:firstLine="480"/>
      </w:pPr>
      <w:r>
        <w:rPr>
          <w:rFonts w:hint="eastAsia" w:ascii="宋体" w:hAnsi="宋体" w:eastAsia="宋体"/>
          <w:sz w:val="24"/>
        </w:rPr>
        <w:t>上述结果表明，CLIP伪标签质量主要受三类因素制约：一是地物空间尺度——面积小或分散的地物（黄色路缘）难以被超像素分割独立提取；二是辅助模态类型——SAR与CLIP光学先验之间的领域鸿沟显著大于LiDAR，Berlin多个零精度类别即源于此；三是类别命名的语义覆盖——allotment（家庭菜园）、cloth panels（布制覆盖板）等罕见词汇无法触发CLIP的有效语义匹配。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20pt;height:9.5pt" o:ole="">
                  <v:imagedata r:id="rId12" o:title=""/>
                </v:shape>
                <o:OLEObject Type="Embed" ProgID="Visio.Drawing.15" ShapeID="_x0000_i1051" DrawAspect="Content" ObjectID="_1840215322"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20pt;height:9.5pt" o:ole="">
                  <v:imagedata r:id="rId14" o:title=""/>
                </v:shape>
                <o:OLEObject Type="Embed" ProgID="Visio.Drawing.15" ShapeID="_x0000_i1052" DrawAspect="Content" ObjectID="_1840215323"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20pt;height:9.5pt" o:ole="">
                  <v:imagedata r:id="rId16" o:title=""/>
                </v:shape>
                <o:OLEObject Type="Embed" ProgID="Visio.Drawing.15" ShapeID="_x0000_i1053" DrawAspect="Content" ObjectID="_1840215324"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20pt;height:9.5pt" o:ole="">
                  <v:imagedata r:id="rId18" o:title=""/>
                </v:shape>
                <o:OLEObject Type="Embed" ProgID="Visio.Drawing.15" ShapeID="_x0000_i1054" DrawAspect="Content" ObjectID="_1840215325"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20pt;height:9.5pt" o:ole="">
                  <v:imagedata r:id="rId20" o:title=""/>
                </v:shape>
                <o:OLEObject Type="Embed" ProgID="Visio.Drawing.15" ShapeID="_x0000_i1055" DrawAspect="Content" ObjectID="_1840215326"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20pt;height:9.5pt" o:ole="">
                  <v:imagedata r:id="rId22" o:title=""/>
                </v:shape>
                <o:OLEObject Type="Embed" ProgID="Visio.Drawing.15" ShapeID="_x0000_i1056" DrawAspect="Content" ObjectID="_1840215327"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20pt;height:9.5pt" o:ole="">
                  <v:imagedata r:id="rId24" o:title=""/>
                </v:shape>
                <o:OLEObject Type="Embed" ProgID="Visio.Drawing.15" ShapeID="_x0000_i1057" DrawAspect="Content" ObjectID="_1840215328"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20pt;height:9.5pt" o:ole="">
                  <v:imagedata r:id="rId26" o:title=""/>
                </v:shape>
                <o:OLEObject Type="Embed" ProgID="Visio.Drawing.15" ShapeID="_x0000_i1058" DrawAspect="Content" ObjectID="_1840215329"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lastRenderedPageBreak/>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rPr>
          <w:rFonts w:ascii="宋体" w:hAnsi="宋体" w:eastAsia="宋体"/>
          <w:sz w:val="24"/>
        </w:rPr>
        <w:t>为评估各模块的独立贡献，本节通过消融实验分别考察CLIP-ViT（V）、CLIP-RSICD（R）与SAM（S）对伪标签精度的影响。表5记录了不同模块组合下的实验结果。</w:t>
      </w:r>
      <w:r w:rsidRPr="00706A42"/>
      <w:r w:rsidRPr="00706A42"/>
      <w:r w:rsidRPr="00706A42"/>
      <w:r w:rsidRPr="00706A42"/>
    </w:p>
    <w:p w14:paraId="051BA365" w14:textId="052EC5EF" w:rsidR="00706A42" w:rsidRPr="00706A42" w:rsidRDefault="00706A42" w:rsidP="00706A42">
      <w:pPr>
        <w:ind w:firstLine="480"/>
      </w:pPr>
      <w:r w:rsidRPr="00706A42">
        <w:rPr>
          <w:rFonts w:ascii="宋体" w:hAnsi="宋体" w:eastAsia="宋体"/>
          <w:sz w:val="24"/>
        </w:rPr>
        <w:t>在仅使用CLIP-RSICD（R配置）的基线条件下，三个数据集性能差异较大。MUUFL上OA=70.29%、AA=60.32%；Berlin上OA达到92.68%，可能与Berlin类别总数较少（8类）且SAR模态下各类别光谱特征同质性较高有关。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
    <w:p w14:paraId="1057FC03" w14:textId="417493EC" w:rsidR="00706A42" w:rsidRPr="00706A42" w:rsidRDefault="00706A42" w:rsidP="00706A42">
      <w:pPr>
        <w:ind w:firstLine="480"/>
      </w:pPr>
      <w:r w:rsidRPr="00706A42">
        <w:rPr>
          <w:rFonts w:ascii="宋体" w:hAnsi="宋体" w:eastAsia="宋体"/>
          <w:sz w:val="24"/>
        </w:rPr>
        <w:t>MUUFL上，完整模型（V+R+S）的OA达到80.32%，Kappa=73.94%，显著优于单一模块配置（R: OA=70.29%，V: OA=78.49%），三个模块叠加在该数据集上产生了约10个百分点的边际增益。</w:t>
      </w:r>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p>
    <w:p w14:paraId="1A6BB9E9" w14:textId="77777777" w:rsidR="00706A42" w:rsidRPr="00706A42" w:rsidRDefault="00706A42" w:rsidP="00706A42">
      <w:pPr>
        <w:ind w:firstLine="480"/>
      </w:pPr>
      <w:r w:rsidRPr="00706A42">
        <w:rPr>
          <w:rFonts w:ascii="宋体" w:hAnsi="宋体" w:eastAsia="宋体"/>
          <w:sz w:val="24"/>
        </w:rPr>
        <w:t>模块组合的最优配置在不同数据集上存在差异。Houston上S+R组合（不使用ViT）取得最高OA（80.64%），高于完整模型的76.37%；Berlin上V+R组合达到最高OA（92.73%），略高于完整模型的92.49%。但MUUFL上完整模型取得了最高OA（80.32%），且在所有数据集上保持了最稳定的平均性能。V+R+S配置虽然不一定在每个数据集上最优，但其跨数据集的性能波动最小，综合稳健性最好。从消融结果可以推测，CLIP-ViT提供的通用视觉知识和CLIP-RSICD注入的遥感领域先验形成了互补——前者在语义规范的类别上表现更优，后者对遥感场景中典型地物的识别更准确，而SAM提供的精细空间分割进一步提升了区域级CLIP推理的准确性。</w:t>
      </w:r>
      <w:r w:rsidRPr="00706A42"/>
      <w:proofErr w:type="spellStart"/>
      <w:r w:rsidRPr="00706A42"/>
      <w:proofErr w:type="spellEnd"/>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lastRenderedPageBreak/>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rPr>
          <w:rFonts w:ascii="宋体" w:hAnsi="宋体" w:eastAsia="宋体"/>
          <w:sz w:val="24"/>
        </w:rPr>
        <w:t>表6展示了标签修正模块的消融实验结果。引入标签修正后，三个数据集上的未知类精度均获得显著提升：Houston上U(OA)从24.87%升至39.07%；MUUFL上的增益最为突出，U(OA)从20.84%跃升至61.68%（提升近41个百分点），H(OA)从28.64%升至72.45%；Berlin上H(OA)达到72.86%。MUUFL上标签修正的边际效益最大，可能是因为该数据集初始伪标签质量本身较差（混合地表、黄色路缘等类别的CLIP输出高度不确定），修正过程对这些低质量区域的改善空间更大。Berlin上标签修正对已知类精度的提升（S(aa)从61.31%至86.77%）较未知类更为显著，可能与该数据集中SAR模态下光谱特征的聚类结构更为清晰、有利于局部一致性检验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58589F84" w14:textId="5B3E354B" w:rsidR="007E31CE" w:rsidRDefault="00706A42" w:rsidP="004D1C85">
      <w:pPr>
        <w:ind w:firstLine="480"/>
      </w:pPr>
      <w:r w:rsidRPr="00706A42">
        <w:rPr>
          <w:rFonts w:ascii="宋体" w:hAnsi="宋体" w:eastAsia="宋体"/>
          <w:sz w:val="24"/>
        </w:rPr>
        <w:t>从图4至图6的对比中可以更直观地观察到标签修正在不同未知类组合下的差异化效果。MUUFL中多个初始精度接近零的组合在修正后获得了有意义的预测水平，说明当初始伪标签质量较差时，基于光谱聚类和局部一致性的修正策略可以起到"纠错"作用，而非仅仅是"微调"。Houston上已知类和未知类精度呈现较为一致的提升趋势，修正效果具有较好的普适性。Berlin上已知类精度的提升幅度（超25个百分点）超过了未知类（约17个百分点）。综合来看，标签修正的边际效益与初始伪标签的质量呈反比关系：初始伪标签越不可靠的区域，修正后的改进空间越大。</w:t>
      </w:r>
      <w:r w:rsidRPr="00706A42"/>
      <w:r w:rsidRPr="00706A42"/>
      <w:r w:rsidRPr="00706A42"/>
      <w:r w:rsidRPr="00706A42"/>
      <w:r w:rsidRPr="00706A42"/>
      <w:r w:rsidRPr="00706A42"/>
      <w:r w:rsidR="00825E03">
        <w:rPr>
          <w:rFonts w:hint="eastAsia"/>
        </w:rPr>
      </w:r>
      <w:r w:rsidRPr="00706A42"/>
      <w:r w:rsidR="00825E03">
        <w:rPr>
          <w:rFonts w:hint="eastAsia"/>
        </w:rPr>
      </w:r>
      <w:r w:rsidRPr="00706A42"/>
      <w:r w:rsidR="007E31CE">
        <w:rPr>
          <w:rFonts w:hint="eastAsia"/>
        </w:rPr>
      </w:r>
      <w:r w:rsidR="007E31CE">
        <w:rPr>
          <w:rFonts w:hint="eastAsia"/>
        </w:rPr>
      </w:r>
      <w:r w:rsidR="007E31CE">
        <w:rPr>
          <w:rFonts w:hint="eastAsia"/>
        </w:rPr>
      </w:r>
      <w:proofErr w:type="gramStart"/>
      <w:r w:rsidR="007E31CE">
        <w:rPr>
          <w:rFonts w:hint="eastAsia"/>
        </w:rPr>
      </w:r>
      <w:proofErr w:type="gramEnd"/>
      <w:r w:rsidR="007E31CE">
        <w:rPr>
          <w:rFonts w:hint="eastAsia"/>
        </w:rPr>
      </w:r>
      <w:r w:rsidR="007E31CE">
        <w:rPr>
          <w:rFonts w:hint="eastAsia"/>
        </w:rPr>
      </w:r>
      <w:r w:rsidR="007E31CE">
        <w:rPr>
          <w:rFonts w:hint="eastAsia"/>
        </w:rPr>
      </w:r>
      <w:r w:rsidR="007E31CE">
        <w:rPr>
          <w:rFonts w:hint="eastAsia"/>
        </w:rPr>
      </w:r>
      <w:r w:rsidR="007E31CE">
        <w:rPr>
          <w:rFonts w:hint="eastAsia"/>
        </w:rPr>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rPr>
          <w:rFonts w:ascii="宋体" w:hAnsi="宋体" w:eastAsia="宋体"/>
          <w:sz w:val="24"/>
        </w:rPr>
        <w:t>图7展示了三个数据集在不同边缘扩展值（Margin）下的分类精度。MUUFL对边缘值的变化最为敏感：边缘值为0.2时OA=82.42%、Kappa=76.76%；边缘值为0.05时OA降至78.42%。Berlin在边缘值为0.2时OA达到92.43%，同样为最优。Houston则在边缘值为0.3时取得最佳OA（76.83%），与0.2时的结果（76.37%）差距不大。边缘值过小（0.05）时，CLIP推理窗口捕获的空间上下文不足，易因局部纹理干扰导致误判；边缘值过大（0.3）时，推理窗口可能跨越多个地物类型，引入语义噪声。综合三个数据集的多指标表现，边缘值取0.2是一个相对稳健的选择。</w:t>
      </w:r>
      <w:r>
        <w:rPr>
          <w:rFonts w:hint="eastAsia"/>
        </w:rPr>
      </w:r>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rPr>
          <w:rFonts w:ascii="宋体" w:hAnsi="宋体" w:eastAsia="宋体"/>
          <w:sz w:val="24"/>
        </w:rPr>
        <w:t>最后，图8展示了不同伪标签损失权重β下的分类精度变化。β控制着模型对伪标签监督信号的信任程度。β=0时模型退化为纯监督模式，未知类精度几乎为零。β取0.25或0.5时，模型在多数数据集上取得了S(AA)与U(AA)之间的较好平衡。β过大（如1.0或2.0）时，对噪声伪标签的过度信任开始损害已知类精度，这在Houston和Berlin上表现尤为明显——S(AA)下降的同时U(AA)并未继续提升。MUUFL对β的变化相对不敏感，可能与其初始伪标签质量较高、噪声水平较低有关。综合来看，β=0.5在多数场景下提供了已知类与未知类性能的较好折中。</w:t>
      </w:r>
      <w:r w:rsidRPr="007E31CE">
        <w:rPr>
          <w:rFonts w:ascii="Cambria Math" w:hAnsi="Cambria Math" w:cs="Cambria Math"/>
        </w:rPr>
      </w:r>
      <w:r w:rsidRPr="007E31CE"/>
      <w:r>
        <w:rPr>
          <w:rFonts w:hint="eastAsia"/>
        </w:rPr>
      </w:r>
      <w:r w:rsidRPr="007E31CE"/>
      <w:r w:rsidRPr="007E31CE">
        <w:rPr>
          <w:rFonts w:ascii="Cambria Math" w:hAnsi="Cambria Math" w:cs="Cambria Math"/>
        </w:rPr>
      </w:r>
      <w:r w:rsidRPr="007E31CE"/>
      <w:r w:rsidRPr="007E31CE"/>
      <w:r w:rsidRPr="007E31CE"/>
      <w:r w:rsidRPr="007E31CE"/>
      <w:r w:rsidRPr="007E31CE"/>
      <w:r w:rsidRPr="007E31CE"/>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Pr>
          <w:rFonts w:hint="eastAsia"/>
        </w:rPr>
      </w:r>
      <w:r w:rsidRPr="007E31CE"/>
      <w:r>
        <w:rPr>
          <w:rFonts w:hint="eastAsia"/>
        </w:rPr>
      </w:r>
      <w:r w:rsidRPr="007E31CE"/>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30E8" w14:textId="77777777" w:rsidR="00A91079" w:rsidRDefault="00A91079" w:rsidP="00A654DE">
      <w:pPr>
        <w:ind w:firstLine="480"/>
      </w:pPr>
      <w:r>
        <w:separator/>
      </w:r>
    </w:p>
  </w:endnote>
  <w:endnote w:type="continuationSeparator" w:id="0">
    <w:p w14:paraId="39CB0501" w14:textId="77777777" w:rsidR="00A91079" w:rsidRDefault="00A91079"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98B9" w14:textId="77777777" w:rsidR="00A91079" w:rsidRDefault="00A91079" w:rsidP="00A654DE">
      <w:pPr>
        <w:ind w:firstLine="480"/>
      </w:pPr>
      <w:r>
        <w:separator/>
      </w:r>
    </w:p>
  </w:footnote>
  <w:footnote w:type="continuationSeparator" w:id="0">
    <w:p w14:paraId="73805CF9" w14:textId="77777777" w:rsidR="00A91079" w:rsidRDefault="00A91079"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0267D0"/>
    <w:rsid w:val="00126C45"/>
    <w:rsid w:val="00177A89"/>
    <w:rsid w:val="00197236"/>
    <w:rsid w:val="001D0009"/>
    <w:rsid w:val="00206595"/>
    <w:rsid w:val="002071EC"/>
    <w:rsid w:val="00226FC3"/>
    <w:rsid w:val="002B52D4"/>
    <w:rsid w:val="002E179A"/>
    <w:rsid w:val="003136DF"/>
    <w:rsid w:val="00317D6A"/>
    <w:rsid w:val="0037078C"/>
    <w:rsid w:val="003F4214"/>
    <w:rsid w:val="0043298D"/>
    <w:rsid w:val="00462C62"/>
    <w:rsid w:val="00476220"/>
    <w:rsid w:val="004B1C5A"/>
    <w:rsid w:val="004D1C85"/>
    <w:rsid w:val="004E3502"/>
    <w:rsid w:val="00514422"/>
    <w:rsid w:val="00577BF2"/>
    <w:rsid w:val="00590AE2"/>
    <w:rsid w:val="005D1635"/>
    <w:rsid w:val="00603483"/>
    <w:rsid w:val="00706A42"/>
    <w:rsid w:val="00757394"/>
    <w:rsid w:val="007637FF"/>
    <w:rsid w:val="007649FB"/>
    <w:rsid w:val="007A19D0"/>
    <w:rsid w:val="007E31CE"/>
    <w:rsid w:val="007F4CCA"/>
    <w:rsid w:val="00825E03"/>
    <w:rsid w:val="008601CE"/>
    <w:rsid w:val="008831CA"/>
    <w:rsid w:val="00895728"/>
    <w:rsid w:val="008E40B8"/>
    <w:rsid w:val="0090261C"/>
    <w:rsid w:val="00925E72"/>
    <w:rsid w:val="009543CA"/>
    <w:rsid w:val="0099730A"/>
    <w:rsid w:val="009A5EE2"/>
    <w:rsid w:val="00A13BC2"/>
    <w:rsid w:val="00A6301B"/>
    <w:rsid w:val="00A654DE"/>
    <w:rsid w:val="00A81FF3"/>
    <w:rsid w:val="00A91079"/>
    <w:rsid w:val="00A951CF"/>
    <w:rsid w:val="00AA2B31"/>
    <w:rsid w:val="00AB6283"/>
    <w:rsid w:val="00B0262B"/>
    <w:rsid w:val="00B1489F"/>
    <w:rsid w:val="00B71FF8"/>
    <w:rsid w:val="00B72633"/>
    <w:rsid w:val="00BA715C"/>
    <w:rsid w:val="00BC0101"/>
    <w:rsid w:val="00C22463"/>
    <w:rsid w:val="00C7003B"/>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2479</TotalTime>
  <Pages>12</Pages>
  <Words>4975</Words>
  <Characters>9602</Characters>
  <Application>Microsoft Office Word</Application>
  <DocSecurity>0</DocSecurity>
  <Lines>800</Lines>
  <Paragraphs>911</Paragraphs>
  <ScaleCrop>false</ScaleCrop>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18</cp:revision>
  <dcterms:created xsi:type="dcterms:W3CDTF">2026-05-08T03:20:00Z</dcterms:created>
  <dcterms:modified xsi:type="dcterms:W3CDTF">2026-05-13T14:07:00Z</dcterms:modified>
</cp:coreProperties>
</file>