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requirement, offshore patrol vessel</w:t>
      </w:r>
    </w:p>
    <w:p>
      <w:r>
        <w:rPr>
          <w:b/>
        </w:rPr>
        <w:t>SDO/NSR/PATROL-2031   Rev F   RESTRICTED</w:t>
      </w:r>
    </w:p>
    <w:p>
      <w:pPr>
        <w:pStyle w:val="Heading1"/>
      </w:pPr>
      <w:r>
        <w:t>1.1 Mission profile</w:t>
      </w:r>
    </w:p>
    <w:p>
      <w:r>
        <w:t>The platform shall sustain a 21-day patrol without replenishment, with an endurance of 4,500 nautical miles at 14 knots economical speed. Maximum continuous speed shall be not less than 24 knots in sea state 3 at full load displacement. The platform shall operate a 10-tonne class helicopter and shall launch and recover a 7 m rigid hull inflatable boat at speeds up to 10 knots in sea state 4.</w:t>
      </w:r>
    </w:p>
    <w:p>
      <w:pPr>
        <w:pStyle w:val="Heading1"/>
      </w:pPr>
      <w:r>
        <w:t>2.4 Accommodation standard</w:t>
      </w:r>
    </w:p>
    <w:p>
      <w:r>
        <w:t>Design complement is 96 with margin for a further 20 embarked personnel. Junior rates shall be berthed in cabins of not more than six, with a minimum of 2.8 square metres of deck area and 0.85 cubic metres of stowage per person. No accommodation space shall have its only escape route through a machinery space.</w:t>
      </w:r>
    </w:p>
    <w:p>
      <w:pPr>
        <w:pStyle w:val="Heading1"/>
      </w:pPr>
      <w:r>
        <w:t>6.1 Weight margin policy</w:t>
      </w:r>
    </w:p>
    <w:p>
      <w:r>
        <w:t>A design and build margin of 6 percent of lightship weight and a KG margin of 0.25 m shall be carried through to contract design. Service life allowance shall be a further 5 percent of lightship displacement and 0.15 m of KG, reserved against equipment growth over 30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