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Survivability and signature management</w:t>
      </w:r>
    </w:p>
    <w:p>
      <w:r>
        <w:rPr>
          <w:b/>
        </w:rPr>
        <w:t>SDO/SUR/DC-018   Rev B   RESTRICTED</w:t>
      </w:r>
    </w:p>
    <w:p>
      <w:pPr>
        <w:pStyle w:val="Heading1"/>
      </w:pPr>
      <w:r>
        <w:t>2.1 Citadel and zones</w:t>
      </w:r>
    </w:p>
    <w:p>
      <w:r>
        <w:t>The platform shall be divided into not fewer than four damage control zones, each self-sufficient in firefighting, dewatering and electrical supply for a period of 30 minutes without support from adjacent zones. Zone boundaries shall coincide with main transverse watertight bulkheads and shall carry A-60 fire insulation. The fire main shall be a ring with sectioning valves at each zone boundary so that any single rupture isolates no more than one zone.</w:t>
      </w:r>
    </w:p>
    <w:p>
      <w:pPr>
        <w:pStyle w:val="Heading1"/>
      </w:pPr>
      <w:r>
        <w:t>4.3 Superstructure faceting</w:t>
      </w:r>
    </w:p>
    <w:p>
      <w:r>
        <w:t>Superstructure sides shall be inclined not less than 7 degrees from the vertical, with the inclination held constant over each face to avoid creating a specular return band. Vertical corner reflectors formed by intersecting deckhouse faces and deck edges shall be eliminated by chamfering or by screening. Deck fittings above the damage control deck shall be either recessed, screened, or shaped to avoid dihedral geometry.</w:t>
      </w:r>
    </w:p>
    <w:p>
      <w:pPr>
        <w:pStyle w:val="Heading1"/>
      </w:pPr>
      <w:r>
        <w:t>5.2 Exhaust cooling</w:t>
      </w:r>
    </w:p>
    <w:p>
      <w:r>
        <w:t>Gas turbine exhaust shall be diluted with ambient air to reduce plume temperature below 200 degrees Celsius at the funnel exit. Uptake and funnel surfaces reaching temperatures above 60 degrees Celsius shall be insulated or air-gap screened from external view. The funnel shall be positioned so that the plume does not wash the flight deck approach path in the prevailing relative wind envelope.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