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Stability criteria for surface combatants</w:t>
      </w:r>
    </w:p>
    <w:p>
      <w:r>
        <w:rPr>
          <w:b/>
        </w:rPr>
        <w:t>SDO/NA/STAB-014   Rev C   RESTRICTED</w:t>
      </w:r>
    </w:p>
    <w:p>
      <w:pPr>
        <w:pStyle w:val="Heading1"/>
      </w:pPr>
      <w:r>
        <w:t>4.2 Righting arm curve</w:t>
      </w:r>
    </w:p>
    <w:p>
      <w:r>
        <w:t>For frigate and corvette hull forms the area under the righting arm curve up to 30 degrees shall not be less than 0.055 m·rad, and the area between 30 and 40 degrees not less than 0.030 m·rad. Maximum GZ shall occur at a heel angle of not less than 30 degrees, with a value of at least 0.20 m. Initial transverse metacentric height GM in the full load departure condition shall be not less than 0.15 m after correction for free surface effect in all partially filled tanks.</w:t>
      </w:r>
    </w:p>
    <w:p>
      <w:pPr>
        <w:pStyle w:val="Heading1"/>
      </w:pPr>
      <w:r>
        <w:t>4.5 Free surface correction</w:t>
      </w:r>
    </w:p>
    <w:p>
      <w:r>
        <w:t>Free surface moments shall be computed for every tank capable of being partially filled in service, taken at the filling level producing the greatest moment. Tanks declared as either pressed full or empty in a given condition may be excluded only where a positive means of maintaining that state is fitted.</w:t>
      </w:r>
    </w:p>
    <w:p>
      <w:pPr>
        <w:pStyle w:val="Heading1"/>
      </w:pPr>
      <w:r>
        <w:t>6.1 Extent of damage</w:t>
      </w:r>
    </w:p>
    <w:p>
      <w:r>
        <w:t>The platform shall survive flooding of any two adjacent main watertight compartments. Assumed damage extent is 15 percent of waterline length or 21 m, whichever is less, penetrating to the centreline and extending vertically without limit above the waterline. In the final equilibrium condition the margin line shall not be submerged, residual GZ shall be positive over a range of at least 15 degrees, and the angle of list shall not exceed 20 degrees.</w:t>
      </w:r>
    </w:p>
    <w:p>
      <w:pPr>
        <w:pStyle w:val="Heading1"/>
      </w:pPr>
      <w:r>
        <w:t>6.4 Permeability</w:t>
      </w:r>
    </w:p>
    <w:p>
      <w:r>
        <w:t>Permeability shall be taken as 95 percent for void spaces and accommodation, 85 percent for machinery spaces, and 60 percent for spaces occupied by stores. Where a compartment's permeability is materially different, it shall be calculated and recorded in the damage stability booklet.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