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181" w:rsidRPr="005A23F7" w:rsidRDefault="005A23F7" w:rsidP="005A23F7">
      <w:pPr>
        <w:jc w:val="center"/>
        <w:rPr>
          <w:rFonts w:ascii="微软雅黑" w:eastAsia="微软雅黑" w:hAnsi="微软雅黑" w:hint="eastAsia"/>
          <w:b/>
          <w:sz w:val="32"/>
        </w:rPr>
      </w:pPr>
      <w:bookmarkStart w:id="0" w:name="_GoBack"/>
      <w:r w:rsidRPr="005A23F7">
        <w:rPr>
          <w:rFonts w:ascii="微软雅黑" w:eastAsia="微软雅黑" w:hAnsi="微软雅黑"/>
          <w:b/>
          <w:sz w:val="32"/>
        </w:rPr>
        <w:t>港股交易股票相关性分析</w:t>
      </w:r>
    </w:p>
    <w:bookmarkEnd w:id="0"/>
    <w:p w:rsidR="005A23F7" w:rsidRPr="005A23F7" w:rsidRDefault="005A23F7">
      <w:pPr>
        <w:rPr>
          <w:rFonts w:ascii="微软雅黑" w:eastAsia="微软雅黑" w:hAnsi="微软雅黑"/>
        </w:rPr>
      </w:pPr>
    </w:p>
    <w:p w:rsidR="005A23F7" w:rsidRDefault="005A23F7">
      <w:pPr>
        <w:rPr>
          <w:rFonts w:ascii="微软雅黑" w:eastAsia="微软雅黑" w:hAnsi="微软雅黑"/>
        </w:rPr>
      </w:pPr>
      <w:r w:rsidRPr="005A23F7">
        <w:rPr>
          <w:rFonts w:ascii="微软雅黑" w:eastAsia="微软雅黑" w:hAnsi="微软雅黑"/>
        </w:rPr>
        <w:t>朱总好</w:t>
      </w:r>
      <w:r>
        <w:rPr>
          <w:rFonts w:ascii="微软雅黑" w:eastAsia="微软雅黑" w:hAnsi="微软雅黑"/>
        </w:rPr>
        <w:t>：</w:t>
      </w:r>
    </w:p>
    <w:p w:rsidR="005A23F7" w:rsidRDefault="005A23F7">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本周我们做了港股可交易股票的相关性分析，目的是为了通过观察相关性的变动情况了解宏观因子对港股公司涨跌幅的影响</w:t>
      </w:r>
      <w:r w:rsidR="00553920">
        <w:rPr>
          <w:rFonts w:ascii="微软雅黑" w:eastAsia="微软雅黑" w:hAnsi="微软雅黑"/>
        </w:rPr>
        <w:t>。通过分析</w:t>
      </w:r>
      <w:r w:rsidR="00553920">
        <w:rPr>
          <w:rFonts w:ascii="微软雅黑" w:eastAsia="微软雅黑" w:hAnsi="微软雅黑" w:hint="eastAsia"/>
        </w:rPr>
        <w:t>2</w:t>
      </w:r>
      <w:r w:rsidR="00553920">
        <w:rPr>
          <w:rFonts w:ascii="微软雅黑" w:eastAsia="微软雅黑" w:hAnsi="微软雅黑"/>
        </w:rPr>
        <w:t>22支港股过去一年日涨跌幅相关性情况，可以得出以下结论：</w:t>
      </w:r>
    </w:p>
    <w:p w:rsidR="00553920" w:rsidRDefault="00553920" w:rsidP="00553920">
      <w:pPr>
        <w:pStyle w:val="a3"/>
        <w:numPr>
          <w:ilvl w:val="0"/>
          <w:numId w:val="1"/>
        </w:numPr>
        <w:ind w:firstLineChars="0"/>
        <w:rPr>
          <w:rFonts w:ascii="微软雅黑" w:eastAsia="微软雅黑" w:hAnsi="微软雅黑"/>
        </w:rPr>
      </w:pPr>
      <w:r>
        <w:rPr>
          <w:rFonts w:ascii="微软雅黑" w:eastAsia="微软雅黑" w:hAnsi="微软雅黑" w:hint="eastAsia"/>
        </w:rPr>
        <w:t>当发生宏观事件冲击时，港股相关性大幅上升。上升趋势往往持续数周；</w:t>
      </w:r>
    </w:p>
    <w:p w:rsidR="00553920" w:rsidRDefault="00553920" w:rsidP="00553920">
      <w:pPr>
        <w:pStyle w:val="a3"/>
        <w:numPr>
          <w:ilvl w:val="0"/>
          <w:numId w:val="1"/>
        </w:numPr>
        <w:ind w:firstLineChars="0"/>
        <w:rPr>
          <w:rFonts w:ascii="微软雅黑" w:eastAsia="微软雅黑" w:hAnsi="微软雅黑"/>
        </w:rPr>
      </w:pPr>
      <w:r>
        <w:rPr>
          <w:rFonts w:ascii="微软雅黑" w:eastAsia="微软雅黑" w:hAnsi="微软雅黑" w:hint="eastAsia"/>
        </w:rPr>
        <w:t>从1</w:t>
      </w:r>
      <w:r>
        <w:rPr>
          <w:rFonts w:ascii="微软雅黑" w:eastAsia="微软雅黑" w:hAnsi="微软雅黑"/>
        </w:rPr>
        <w:t>1月初的疫苗消息和美国大选不确定性消除之后，市场关注宏观事件</w:t>
      </w:r>
      <w:r w:rsidR="00126752">
        <w:rPr>
          <w:rFonts w:ascii="微软雅黑" w:eastAsia="微软雅黑" w:hAnsi="微软雅黑"/>
        </w:rPr>
        <w:t>的热情正在消退，市场目前的相关性水平较低；</w:t>
      </w:r>
    </w:p>
    <w:p w:rsidR="005A23F7" w:rsidRPr="000E2133" w:rsidRDefault="000E2133" w:rsidP="000E2133">
      <w:pPr>
        <w:pStyle w:val="a3"/>
        <w:numPr>
          <w:ilvl w:val="0"/>
          <w:numId w:val="1"/>
        </w:numPr>
        <w:ind w:firstLineChars="0"/>
        <w:rPr>
          <w:rFonts w:ascii="微软雅黑" w:eastAsia="微软雅黑" w:hAnsi="微软雅黑" w:hint="eastAsia"/>
          <w:b/>
          <w:color w:val="FF0000"/>
          <w:u w:val="single"/>
        </w:rPr>
      </w:pPr>
      <w:r>
        <w:rPr>
          <w:rFonts w:ascii="微软雅黑" w:eastAsia="微软雅黑" w:hAnsi="微软雅黑" w:hint="eastAsia"/>
        </w:rPr>
        <w:t>当前市场的相关性朝更低方向移动，反映市场的机会应该在个股中，且没有明确的cyc</w:t>
      </w:r>
      <w:r>
        <w:rPr>
          <w:rFonts w:ascii="微软雅黑" w:eastAsia="微软雅黑" w:hAnsi="微软雅黑"/>
        </w:rPr>
        <w:t>lical sector rotation的倾向（相较</w:t>
      </w:r>
      <w:proofErr w:type="gramStart"/>
      <w:r>
        <w:rPr>
          <w:rFonts w:ascii="微软雅黑" w:eastAsia="微软雅黑" w:hAnsi="微软雅黑"/>
        </w:rPr>
        <w:t>于之前</w:t>
      </w:r>
      <w:proofErr w:type="gramEnd"/>
      <w:r>
        <w:rPr>
          <w:rFonts w:ascii="微软雅黑" w:eastAsia="微软雅黑" w:hAnsi="微软雅黑"/>
        </w:rPr>
        <w:t>疫苗公布带来的板块轮动，如果由大规模持续的科技股向周期股轮动的趋势，市场整体相关性应该上升）。</w:t>
      </w:r>
      <w:r w:rsidRPr="000E2133">
        <w:rPr>
          <w:rFonts w:ascii="微软雅黑" w:eastAsia="微软雅黑" w:hAnsi="微软雅黑"/>
          <w:b/>
          <w:color w:val="FF0000"/>
          <w:u w:val="single"/>
        </w:rPr>
        <w:t>当前市场的交易机会应该集中在个股和行业层面。</w:t>
      </w:r>
    </w:p>
    <w:p w:rsidR="005A23F7" w:rsidRDefault="005A23F7">
      <w:pPr>
        <w:rPr>
          <w:rFonts w:ascii="微软雅黑" w:eastAsia="微软雅黑" w:hAnsi="微软雅黑"/>
        </w:rPr>
      </w:pPr>
      <w:r w:rsidRPr="005A23F7">
        <w:rPr>
          <w:rFonts w:ascii="微软雅黑" w:eastAsia="微软雅黑" w:hAnsi="微软雅黑"/>
          <w:noProof/>
        </w:rPr>
        <w:drawing>
          <wp:inline distT="0" distB="0" distL="0" distR="0" wp14:anchorId="12FC6430" wp14:editId="779C37A3">
            <wp:extent cx="5274310" cy="3028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28950"/>
                    </a:xfrm>
                    <a:prstGeom prst="rect">
                      <a:avLst/>
                    </a:prstGeom>
                  </pic:spPr>
                </pic:pic>
              </a:graphicData>
            </a:graphic>
          </wp:inline>
        </w:drawing>
      </w:r>
    </w:p>
    <w:p w:rsidR="000E2133" w:rsidRDefault="000E2133" w:rsidP="00553920">
      <w:pPr>
        <w:rPr>
          <w:rFonts w:ascii="微软雅黑" w:eastAsia="微软雅黑" w:hAnsi="微软雅黑"/>
        </w:rPr>
      </w:pPr>
    </w:p>
    <w:p w:rsidR="000E2133" w:rsidRPr="000E2133" w:rsidRDefault="000E2133" w:rsidP="00553920">
      <w:pPr>
        <w:rPr>
          <w:rFonts w:ascii="微软雅黑" w:eastAsia="微软雅黑" w:hAnsi="微软雅黑"/>
          <w:b/>
          <w:u w:val="single"/>
        </w:rPr>
      </w:pPr>
      <w:r w:rsidRPr="000E2133">
        <w:rPr>
          <w:rFonts w:ascii="微软雅黑" w:eastAsia="微软雅黑" w:hAnsi="微软雅黑"/>
          <w:b/>
          <w:u w:val="single"/>
        </w:rPr>
        <w:lastRenderedPageBreak/>
        <w:t>计算过程与方法：</w:t>
      </w:r>
    </w:p>
    <w:p w:rsidR="00553920" w:rsidRDefault="000E2133" w:rsidP="000E2133">
      <w:pPr>
        <w:pStyle w:val="a3"/>
        <w:numPr>
          <w:ilvl w:val="0"/>
          <w:numId w:val="2"/>
        </w:numPr>
        <w:ind w:firstLineChars="0"/>
        <w:rPr>
          <w:rFonts w:ascii="微软雅黑" w:eastAsia="微软雅黑" w:hAnsi="微软雅黑"/>
        </w:rPr>
      </w:pPr>
      <w:r w:rsidRPr="000E2133">
        <w:rPr>
          <w:rFonts w:ascii="微软雅黑" w:eastAsia="微软雅黑" w:hAnsi="微软雅黑"/>
          <w:b/>
        </w:rPr>
        <w:t>公司股票池：</w:t>
      </w:r>
      <w:r w:rsidR="00475843" w:rsidRPr="00475843">
        <w:rPr>
          <w:rFonts w:ascii="微软雅黑" w:eastAsia="微软雅黑" w:hAnsi="微软雅黑"/>
        </w:rPr>
        <w:t>选取</w:t>
      </w:r>
      <w:r w:rsidR="00553920" w:rsidRPr="000E2133">
        <w:rPr>
          <w:rFonts w:ascii="微软雅黑" w:eastAsia="微软雅黑" w:hAnsi="微软雅黑" w:hint="eastAsia"/>
        </w:rPr>
        <w:t>3</w:t>
      </w:r>
      <w:r w:rsidR="00553920" w:rsidRPr="000E2133">
        <w:rPr>
          <w:rFonts w:ascii="微软雅黑" w:eastAsia="微软雅黑" w:hAnsi="微软雅黑"/>
        </w:rPr>
        <w:t>0天平均交易量超过</w:t>
      </w:r>
      <w:r w:rsidR="00553920" w:rsidRPr="000E2133">
        <w:rPr>
          <w:rFonts w:ascii="微软雅黑" w:eastAsia="微软雅黑" w:hAnsi="微软雅黑" w:hint="eastAsia"/>
        </w:rPr>
        <w:t>1</w:t>
      </w:r>
      <w:r w:rsidR="00553920" w:rsidRPr="000E2133">
        <w:rPr>
          <w:rFonts w:ascii="微软雅黑" w:eastAsia="微软雅黑" w:hAnsi="微软雅黑"/>
        </w:rPr>
        <w:t>000万港币的所有公司，共计</w:t>
      </w:r>
      <w:r w:rsidR="00553920" w:rsidRPr="000E2133">
        <w:rPr>
          <w:rFonts w:ascii="微软雅黑" w:eastAsia="微软雅黑" w:hAnsi="微软雅黑" w:hint="eastAsia"/>
        </w:rPr>
        <w:t>2</w:t>
      </w:r>
      <w:r w:rsidR="00553920" w:rsidRPr="000E2133">
        <w:rPr>
          <w:rFonts w:ascii="微软雅黑" w:eastAsia="微软雅黑" w:hAnsi="微软雅黑"/>
        </w:rPr>
        <w:t>22支</w:t>
      </w:r>
      <w:r w:rsidR="00475843">
        <w:rPr>
          <w:rFonts w:ascii="微软雅黑" w:eastAsia="微软雅黑" w:hAnsi="微软雅黑"/>
        </w:rPr>
        <w:t>；</w:t>
      </w:r>
    </w:p>
    <w:p w:rsidR="000E2133" w:rsidRDefault="00475843" w:rsidP="000E2133">
      <w:pPr>
        <w:pStyle w:val="a3"/>
        <w:numPr>
          <w:ilvl w:val="0"/>
          <w:numId w:val="2"/>
        </w:numPr>
        <w:ind w:firstLineChars="0"/>
        <w:rPr>
          <w:rFonts w:ascii="微软雅黑" w:eastAsia="微软雅黑" w:hAnsi="微软雅黑"/>
        </w:rPr>
      </w:pPr>
      <w:r>
        <w:rPr>
          <w:rFonts w:ascii="微软雅黑" w:eastAsia="微软雅黑" w:hAnsi="微软雅黑" w:hint="eastAsia"/>
        </w:rPr>
        <w:t>从同花顺提取所有公司股票过去一年的日涨跌幅情况。（新上市股票计为0）；</w:t>
      </w:r>
    </w:p>
    <w:p w:rsidR="00475843" w:rsidRDefault="00475843" w:rsidP="000E2133">
      <w:pPr>
        <w:pStyle w:val="a3"/>
        <w:numPr>
          <w:ilvl w:val="0"/>
          <w:numId w:val="2"/>
        </w:numPr>
        <w:ind w:firstLineChars="0"/>
        <w:rPr>
          <w:rFonts w:ascii="微软雅黑" w:eastAsia="微软雅黑" w:hAnsi="微软雅黑"/>
        </w:rPr>
      </w:pPr>
      <w:r>
        <w:rPr>
          <w:rFonts w:ascii="微软雅黑" w:eastAsia="微软雅黑" w:hAnsi="微软雅黑" w:hint="eastAsia"/>
        </w:rPr>
        <w:t>计算所有公司股票滚动相关性（rolling</w:t>
      </w:r>
      <w:r>
        <w:rPr>
          <w:rFonts w:ascii="微软雅黑" w:eastAsia="微软雅黑" w:hAnsi="微软雅黑"/>
        </w:rPr>
        <w:t xml:space="preserve"> correlation，此次为每隔十日的相关性情况），将每一日所有公司相关性</w:t>
      </w:r>
      <w:proofErr w:type="gramStart"/>
      <w:r>
        <w:rPr>
          <w:rFonts w:ascii="微软雅黑" w:eastAsia="微软雅黑" w:hAnsi="微软雅黑"/>
        </w:rPr>
        <w:t>加总并取平</w:t>
      </w:r>
      <w:proofErr w:type="gramEnd"/>
      <w:r>
        <w:rPr>
          <w:rFonts w:ascii="微软雅黑" w:eastAsia="微软雅黑" w:hAnsi="微软雅黑"/>
        </w:rPr>
        <w:t>均，具体计算方法见以下代码：</w:t>
      </w:r>
    </w:p>
    <w:p w:rsidR="00475843" w:rsidRPr="000E2133" w:rsidRDefault="00475843" w:rsidP="00475843">
      <w:pPr>
        <w:pStyle w:val="a3"/>
        <w:ind w:left="720" w:firstLineChars="0" w:firstLine="0"/>
        <w:rPr>
          <w:rFonts w:ascii="微软雅黑" w:eastAsia="微软雅黑" w:hAnsi="微软雅黑" w:hint="eastAsia"/>
        </w:rPr>
      </w:pPr>
      <w:r>
        <w:rPr>
          <w:noProof/>
        </w:rPr>
        <w:drawing>
          <wp:inline distT="0" distB="0" distL="0" distR="0" wp14:anchorId="5211ABC6" wp14:editId="4F3B4E8B">
            <wp:extent cx="5274310" cy="1361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61440"/>
                    </a:xfrm>
                    <a:prstGeom prst="rect">
                      <a:avLst/>
                    </a:prstGeom>
                  </pic:spPr>
                </pic:pic>
              </a:graphicData>
            </a:graphic>
          </wp:inline>
        </w:drawing>
      </w:r>
    </w:p>
    <w:p w:rsidR="00553920" w:rsidRPr="00475843" w:rsidRDefault="00475843" w:rsidP="00475843">
      <w:pPr>
        <w:pStyle w:val="a3"/>
        <w:numPr>
          <w:ilvl w:val="0"/>
          <w:numId w:val="2"/>
        </w:numPr>
        <w:ind w:firstLineChars="0"/>
        <w:rPr>
          <w:rFonts w:ascii="微软雅黑" w:eastAsia="微软雅黑" w:hAnsi="微软雅黑" w:hint="eastAsia"/>
        </w:rPr>
      </w:pPr>
      <w:r>
        <w:rPr>
          <w:rFonts w:ascii="微软雅黑" w:eastAsia="微软雅黑" w:hAnsi="微软雅黑" w:hint="eastAsia"/>
        </w:rPr>
        <w:t>将每一日的平均相关性汇集形成市场相关性时间序列，绘制成图表。</w:t>
      </w:r>
    </w:p>
    <w:sectPr w:rsidR="00553920" w:rsidRPr="004758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C22F6"/>
    <w:multiLevelType w:val="hybridMultilevel"/>
    <w:tmpl w:val="760AFB82"/>
    <w:lvl w:ilvl="0" w:tplc="4524DE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C72536"/>
    <w:multiLevelType w:val="hybridMultilevel"/>
    <w:tmpl w:val="BEAC6340"/>
    <w:lvl w:ilvl="0" w:tplc="7FA2D3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3F7"/>
    <w:rsid w:val="000E2133"/>
    <w:rsid w:val="00126752"/>
    <w:rsid w:val="00475843"/>
    <w:rsid w:val="00553920"/>
    <w:rsid w:val="005A23F7"/>
    <w:rsid w:val="00623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415C0-A86D-45C1-8327-3B03BE19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9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80</Words>
  <Characters>456</Characters>
  <Application>Microsoft Office Word</Application>
  <DocSecurity>0</DocSecurity>
  <Lines>3</Lines>
  <Paragraphs>1</Paragraphs>
  <ScaleCrop>false</ScaleCrop>
  <Company>TPLHK</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He</dc:creator>
  <cp:keywords/>
  <dc:description/>
  <cp:lastModifiedBy>Wayne He</cp:lastModifiedBy>
  <cp:revision>1</cp:revision>
  <dcterms:created xsi:type="dcterms:W3CDTF">2020-12-11T08:12:00Z</dcterms:created>
  <dcterms:modified xsi:type="dcterms:W3CDTF">2020-12-11T09:02:00Z</dcterms:modified>
</cp:coreProperties>
</file>