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Wakeel v1.0 — Developer Quote</w:t>
      </w:r>
    </w:p>
    <w:p>
      <w:pPr>
        <w:jc w:val="center"/>
      </w:pPr>
      <w:r>
        <w:rPr>
          <w:i/>
        </w:rPr>
        <w:t>Fixed-price proposal in support of Developer SOW v2.0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Engagement window</w:t>
            </w:r>
          </w:p>
        </w:tc>
        <w:tc>
          <w:tcPr>
            <w:tcW w:type="dxa" w:w="4320"/>
          </w:tcPr>
          <w:p>
            <w:r>
              <w:t>May 22 – May 30, 2026 (5 effective build days; Eid break May 26–29)</w:t>
            </w:r>
          </w:p>
        </w:tc>
      </w:tr>
      <w:tr>
        <w:tc>
          <w:tcPr>
            <w:tcW w:type="dxa" w:w="4320"/>
          </w:tcPr>
          <w:p>
            <w:r>
              <w:t>Reference documents</w:t>
            </w:r>
          </w:p>
        </w:tc>
        <w:tc>
          <w:tcPr>
            <w:tcW w:type="dxa" w:w="4320"/>
          </w:tcPr>
          <w:p>
            <w:r>
              <w:t>Wakeel Developer SOW v2.0; Wakeel PRD v3.0</w:t>
            </w:r>
          </w:p>
        </w:tc>
      </w:tr>
      <w:tr>
        <w:tc>
          <w:tcPr>
            <w:tcW w:type="dxa" w:w="4320"/>
          </w:tcPr>
          <w:p>
            <w:r>
              <w:t>Delivery model</w:t>
            </w:r>
          </w:p>
        </w:tc>
        <w:tc>
          <w:tcPr>
            <w:tcW w:type="dxa" w:w="4320"/>
          </w:tcPr>
          <w:p>
            <w:r>
              <w:t>AI-assisted solo build (Claude as technical sounding board per SOW §9; AI coding tools for execution)</w:t>
            </w:r>
          </w:p>
        </w:tc>
      </w:tr>
      <w:tr>
        <w:tc>
          <w:tcPr>
            <w:tcW w:type="dxa" w:w="4320"/>
          </w:tcPr>
          <w:p>
            <w:r>
              <w:t>Fixed price</w:t>
            </w:r>
          </w:p>
        </w:tc>
        <w:tc>
          <w:tcPr>
            <w:tcW w:type="dxa" w:w="4320"/>
          </w:tcPr>
          <w:p>
            <w:r>
              <w:t>$1,300 USD</w:t>
            </w:r>
          </w:p>
        </w:tc>
      </w:tr>
      <w:tr>
        <w:tc>
          <w:tcPr>
            <w:tcW w:type="dxa" w:w="4320"/>
          </w:tcPr>
          <w:p>
            <w:r>
              <w:t>Not-to-exceed (NTE) cap</w:t>
            </w:r>
          </w:p>
        </w:tc>
        <w:tc>
          <w:tcPr>
            <w:tcW w:type="dxa" w:w="4320"/>
          </w:tcPr>
          <w:p>
            <w:r>
              <w:t>$1,500 USD</w:t>
            </w:r>
          </w:p>
        </w:tc>
      </w:tr>
      <w:tr>
        <w:tc>
          <w:tcPr>
            <w:tcW w:type="dxa" w:w="4320"/>
          </w:tcPr>
          <w:p>
            <w:r>
              <w:t>Invoice currency</w:t>
            </w:r>
          </w:p>
        </w:tc>
        <w:tc>
          <w:tcPr>
            <w:tcW w:type="dxa" w:w="4320"/>
          </w:tcPr>
          <w:p>
            <w:r>
              <w:t>USD (all milestone payments invoiced and paid in United States dollars)</w:t>
            </w:r>
          </w:p>
        </w:tc>
      </w:tr>
    </w:tbl>
    <w:p>
      <w:pPr>
        <w:pStyle w:val="Heading1"/>
      </w:pPr>
      <w:r>
        <w:t>Commercial terms</w:t>
      </w:r>
    </w:p>
    <w:p>
      <w:r>
        <w:t>This quote is a fixed-price engagement of $1,300 USD for all deliverables in SOW v2 Section 2 and PRD v3 Sections 5–10 and 17, subject to assumptions and exclusions below.</w:t>
      </w:r>
    </w:p>
    <w:p>
      <w:r>
        <w:t>The fixed price is not calculated as 59 hours × $20/hour ($1,180). The packaged rate includes integration contingency and fixed-price delivery risk. Hours in the milestone table are indicative only for planning and traceability to SOW §4.</w:t>
      </w:r>
    </w:p>
    <w:p>
      <w:r>
        <w:t>If additional in-scope effort is required beyond the fixed price, work may be billed at $20/hour only until cumulative invoicing reaches the not-to-exceed cap of $1,500 USD (maximum additional exposure: $200 USD). No charges beyond $1,500 without a written change order.</w:t>
      </w:r>
    </w:p>
    <w:p>
      <w:r>
        <w:t>Payment currency: All invoices and payments under this engagement are in USD. SOW §10 references AED; both parties agree USD settlement for this engagement. Payment via bank transfer or other mutually agreed method within 7 days of each milestone.</w:t>
      </w:r>
    </w:p>
    <w:p>
      <w:pPr>
        <w:pStyle w:val="Heading2"/>
      </w:pPr>
      <w:r>
        <w:t>Milestone payment schedule (per SOW §10)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%</w:t>
            </w:r>
          </w:p>
        </w:tc>
        <w:tc>
          <w:tcPr>
            <w:tcW w:type="dxa" w:w="2880"/>
          </w:tcPr>
          <w:p>
            <w:r>
              <w:t>Amount (USD)</w:t>
            </w:r>
          </w:p>
        </w:tc>
      </w:tr>
      <w:tr>
        <w:tc>
          <w:tcPr>
            <w:tcW w:type="dxa" w:w="2880"/>
          </w:tcPr>
          <w:p>
            <w:r>
              <w:t>SOW signature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$390</w:t>
            </w:r>
          </w:p>
        </w:tc>
      </w:tr>
      <w:tr>
        <w:tc>
          <w:tcPr>
            <w:tcW w:type="dxa" w:w="2880"/>
          </w:tcPr>
          <w:p>
            <w:r>
              <w:t>Day 4 milestone (May 25) per SOW §4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$390</w:t>
            </w:r>
          </w:p>
        </w:tc>
      </w:tr>
      <w:tr>
        <w:tc>
          <w:tcPr>
            <w:tcW w:type="dxa" w:w="2880"/>
          </w:tcPr>
          <w:p>
            <w:r>
              <w:t>May 30 acceptance per SOW §5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$520</w:t>
            </w:r>
          </w:p>
        </w:tc>
      </w:tr>
    </w:tbl>
    <w:p/>
    <w:p>
      <w:r>
        <w:t>Payment within 7 days of each milestone. Intellectual property, NDA, and other commercial terms per SOW v2 Sections 10 and 12.</w:t>
      </w:r>
    </w:p>
    <w:p>
      <w:pPr>
        <w:pStyle w:val="Heading1"/>
      </w:pPr>
      <w:r>
        <w:t>Indicative hours by milestone (59 hours total)</w:t>
      </w:r>
    </w:p>
    <w:p>
      <w:r>
        <w:t>The following 59 hours align with the SOW §4 calendar. Billing remains fixed-price per Commercial terms above.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Scope</w:t>
            </w:r>
          </w:p>
        </w:tc>
        <w:tc>
          <w:tcPr>
            <w:tcW w:type="dxa" w:w="2160"/>
          </w:tcPr>
          <w:p>
            <w:r>
              <w:t>Hours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Thu May 22</w:t>
            </w:r>
          </w:p>
        </w:tc>
        <w:tc>
          <w:tcPr>
            <w:tcW w:type="dxa" w:w="2160"/>
          </w:tcPr>
          <w:p>
            <w:r>
              <w:t>Repo scaffold; GitLab→GitHub mirror live (Day 1); app/llm.py (SOW §6); LangGraph hello-world; Streamlit UI shell with mode toggle; initial Dockerfile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Fri May 23</w:t>
            </w:r>
          </w:p>
        </w:tc>
        <w:tc>
          <w:tcPr>
            <w:tcW w:type="dxa" w:w="2160"/>
          </w:tcPr>
          <w:p>
            <w:r>
              <w:t>Corpus ingestion (4 UAE statutes); ChromaDB embedding; Interviewer (EN+AR, RTL); Debaters A &amp; B; Loop 1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Sat May 24</w:t>
            </w:r>
          </w:p>
        </w:tc>
        <w:tc>
          <w:tcPr>
            <w:tcW w:type="dxa" w:w="2160"/>
          </w:tcPr>
          <w:p>
            <w:r>
              <w:t>Architect + Builder + Validator; Loops 2 &amp; 3; full build-mode via POST /run and UI; audit trail sidebar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Sun May 25</w:t>
            </w:r>
          </w:p>
        </w:tc>
        <w:tc>
          <w:tcPr>
            <w:tcW w:type="dxa" w:w="2160"/>
          </w:tcPr>
          <w:p>
            <w:r>
              <w:t>Reviewer + Citation Verifier; Loop 4; NDA review copilot template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May 26–29</w:t>
            </w:r>
          </w:p>
        </w:tc>
        <w:tc>
          <w:tcPr>
            <w:tcW w:type="dxa" w:w="2160"/>
          </w:tcPr>
          <w:p>
            <w:r>
              <w:t>Eid — light cleanup buffer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Fri May 30</w:t>
            </w:r>
          </w:p>
        </w:tc>
        <w:tc>
          <w:tcPr>
            <w:tcW w:type="dxa" w:w="2160"/>
          </w:tcPr>
          <w:p>
            <w:r>
              <w:t>Counter-Proposal Drafter + Synthesis; Loop 5; UI polish; 6+6 examples; pinned requirements.txt; sample logs (all 5 loops); docs; Docker; 3 walkthrough videos</w:t>
            </w:r>
          </w:p>
        </w:tc>
        <w:tc>
          <w:tcPr>
            <w:tcW w:type="dxa" w:w="2160"/>
          </w:tcPr>
          <w:p>
            <w:r>
              <w:t>12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4× daily check-ins (May 22–25)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May 31+</w:t>
            </w:r>
          </w:p>
        </w:tc>
        <w:tc>
          <w:tcPr>
            <w:tcW w:type="dxa" w:w="2160"/>
          </w:tcPr>
          <w:p>
            <w:r>
              <w:t>Acceptance review bug fixes (SOW §5)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Indicative total</w:t>
            </w:r>
          </w:p>
        </w:tc>
        <w:tc>
          <w:tcPr>
            <w:tcW w:type="dxa" w:w="2160"/>
          </w:tcPr>
          <w:p>
            <w:r>
              <w:t>59</w:t>
            </w:r>
          </w:p>
        </w:tc>
      </w:tr>
    </w:tbl>
    <w:p>
      <w:pPr>
        <w:pStyle w:val="Heading1"/>
      </w:pPr>
      <w:r>
        <w:t>In scope (summary)</w:t>
      </w:r>
    </w:p>
    <w:p>
      <w:pPr>
        <w:pStyle w:val="ListBullet"/>
      </w:pPr>
      <w:r>
        <w:t>10 agents orchestrated via LangGraph with 5 feedback loops logged to JSONL</w:t>
      </w:r>
    </w:p>
    <w:p>
      <w:pPr>
        <w:pStyle w:val="ListBullet"/>
      </w:pPr>
      <w:r>
        <w:t>POST /run on port 8000 (build and use modes)</w:t>
      </w:r>
    </w:p>
    <w:p>
      <w:pPr>
        <w:pStyle w:val="ListBullet"/>
      </w:pPr>
      <w:r>
        <w:t>Shared LLM client wrapper per SOW §6 (app/llm.py)</w:t>
      </w:r>
    </w:p>
    <w:p>
      <w:pPr>
        <w:pStyle w:val="ListBullet"/>
      </w:pPr>
      <w:r>
        <w:t>ChromaDB corpus: 4 UAE Federal statutes with generic ingestion pipeline</w:t>
      </w:r>
    </w:p>
    <w:p>
      <w:pPr>
        <w:pStyle w:val="ListBullet"/>
      </w:pPr>
      <w:r>
        <w:t>Arabic intake in build mode (Interviewer); English downstream</w:t>
      </w:r>
    </w:p>
    <w:p>
      <w:pPr>
        <w:pStyle w:val="ListBullet"/>
      </w:pPr>
      <w:r>
        <w:t>≥3 Arabic test inputs in input_examples/build_mode/ with corresponding outputs (SOW §2 Arabic intake); plus ≥1 Arabic build-mode example in the 6 total input examples (SOW §2 Documentation). If founder prefers a single Arabic example set, SOW must be amended in writing before Day 1.</w:t>
      </w:r>
    </w:p>
    <w:p>
      <w:pPr>
        <w:pStyle w:val="ListBullet"/>
      </w:pPr>
      <w:r>
        <w:t>Streamlit chat UI on port 8001 with mode toggle, audit sidebar, RTL input</w:t>
      </w:r>
    </w:p>
    <w:p>
      <w:pPr>
        <w:pStyle w:val="ListBullet"/>
      </w:pPr>
      <w:r>
        <w:t>NDA review copilot template end-to-end</w:t>
      </w:r>
    </w:p>
    <w:p>
      <w:pPr>
        <w:pStyle w:val="ListBullet"/>
      </w:pPr>
      <w:r>
        <w:t>GitLab as source of truth; GitLab→GitHub auto-mirror live from Day 1</w:t>
      </w:r>
    </w:p>
    <w:p>
      <w:pPr>
        <w:pStyle w:val="ListBullet"/>
      </w:pPr>
      <w:r>
        <w:t>Docker (ports 8000 and 8001); requirements.txt with pinned versions; .env.example</w:t>
      </w:r>
    </w:p>
    <w:p>
      <w:pPr>
        <w:pStyle w:val="ListBullet"/>
      </w:pPr>
      <w:r>
        <w:t>Sample run logs in logs/ demonstrating all 5 feedback loops</w:t>
      </w:r>
    </w:p>
    <w:p>
      <w:pPr>
        <w:pStyle w:val="ListBullet"/>
      </w:pPr>
      <w:r>
        <w:t>README.md, docs/architecture.md, input/output examples</w:t>
      </w:r>
    </w:p>
    <w:p>
      <w:pPr>
        <w:pStyle w:val="ListBullet"/>
      </w:pPr>
      <w:r>
        <w:t>3 technical walkthrough videos in demos/</w:t>
      </w:r>
    </w:p>
    <w:p>
      <w:pPr>
        <w:pStyle w:val="Heading1"/>
      </w:pPr>
      <w:r>
        <w:t>Out of scope</w:t>
      </w:r>
    </w:p>
    <w:p>
      <w:r>
        <w:t>Per SOW v2 Section 3, including: Arabic output, auth/multi-tenancy, DIFC/ADGM, polished judge-facing demo video, metadata.json/submission portal, production observability, hosting beyond local Docker.</w:t>
      </w:r>
    </w:p>
    <w:p>
      <w:pPr>
        <w:pStyle w:val="Heading1"/>
      </w:pPr>
      <w:r>
        <w:t>Assumptions</w:t>
      </w:r>
    </w:p>
    <w:p>
      <w:pPr>
        <w:pStyle w:val="ListBullet"/>
      </w:pPr>
      <w:r>
        <w:t>Founder provides LLM credentials, statute source files, sample NDAs, and Arabic test inputs by Day 1 (SOW §9).</w:t>
      </w:r>
    </w:p>
    <w:p>
      <w:pPr>
        <w:pStyle w:val="ListBullet"/>
      </w:pPr>
      <w:r>
        <w:t>Jais fallback to standard reasoning model if unavailable Day 1 — no rebuild penalty (SOW §2).</w:t>
      </w:r>
    </w:p>
    <w:p>
      <w:pPr>
        <w:pStyle w:val="ListBullet"/>
      </w:pPr>
      <w:r>
        <w:t>Claude available daily for prompt engineering, agent design review, and unblocking.</w:t>
      </w:r>
    </w:p>
    <w:p>
      <w:pPr>
        <w:pStyle w:val="ListBullet"/>
      </w:pPr>
      <w:r>
        <w:t>AI-assisted coding tools used throughout; without AI support, timeline and price would require renegotiation.</w:t>
      </w:r>
    </w:p>
    <w:p>
      <w:pPr>
        <w:pStyle w:val="ListBullet"/>
      </w:pPr>
      <w:r>
        <w:t>May 31 acceptance review covers bug fixes against SOW §5 criteria only, not new scope.</w:t>
      </w:r>
    </w:p>
    <w:p>
      <w:pPr>
        <w:pStyle w:val="ListBullet"/>
      </w:pPr>
      <w:r>
        <w:t>LLM/API usage costs are founder-provided and not included in this quote.</w:t>
      </w:r>
    </w:p>
    <w:p>
      <w:pPr>
        <w:pStyle w:val="ListBullet"/>
      </w:pPr>
      <w:r>
        <w:t>NTE cap ($1,500 USD) applies only to in-scope work; material additions require a written change order.</w:t>
      </w:r>
    </w:p>
    <w:p>
      <w:pPr>
        <w:pStyle w:val="Heading1"/>
      </w:pPr>
      <w:r>
        <w:t>Risks and flags (SOW §11)</w:t>
      </w:r>
    </w:p>
    <w:p>
      <w:pPr>
        <w:pStyle w:val="ListBullet"/>
      </w:pPr>
      <w:r>
        <w:t>Five working days for full v1.0 delivery is tight; statute files, credentials, and GitLab access must be ready Day 1.</w:t>
      </w:r>
    </w:p>
    <w:p>
      <w:pPr>
        <w:pStyle w:val="ListBullet"/>
      </w:pPr>
      <w:r>
        <w:t>SOW §6 LLM wrapper requirements are non-negotiable and quoted to spec.</w:t>
      </w:r>
    </w:p>
    <w:p>
      <w:pPr>
        <w:pStyle w:val="ListBullet"/>
      </w:pPr>
      <w:r>
        <w:t>NTE cap ($1,500 USD) covers reasonable slip on Loops 4–5, integration, and May 31 fixes; not new features.</w:t>
      </w:r>
    </w:p>
    <w:p>
      <w:pPr>
        <w:pStyle w:val="ListBullet"/>
      </w:pPr>
      <w:r>
        <w:t>May 24 EOD (SOW §4): if Days 1–3 milestones are not met, founder + Claude and developer meet to assess scope cuts per PRD cut sequence.</w:t>
      </w:r>
    </w:p>
    <w:p>
      <w:pPr>
        <w:pStyle w:val="ListBullet"/>
      </w:pPr>
      <w:r>
        <w:t>May 28 mid-Eid (SOW §4): optional 30-minute call to confirm May 30 delivery is on track.</w:t>
      </w:r>
    </w:p>
    <w:p>
      <w:pPr>
        <w:pStyle w:val="Heading1"/>
      </w:pPr>
      <w:r>
        <w:t>Developer responses (SOW §11)</w:t>
      </w:r>
    </w:p>
    <w:p>
      <w:r>
        <w:rPr>
          <w:b/>
        </w:rPr>
        <w:t xml:space="preserve">Stack comfort: </w:t>
      </w:r>
      <w:r>
        <w:t>Comfortable with LangGraph, FastAPI, ChromaDB, Streamlit, Docker, OpenAI-SDK-style clients. Weaker area: Arabic RTL edge cases in Streamlit (addressable with detection and styling).</w:t>
      </w:r>
    </w:p>
    <w:p>
      <w:r>
        <w:rPr>
          <w:b/>
        </w:rPr>
        <w:t xml:space="preserve">Arabic: </w:t>
      </w:r>
      <w:r>
        <w:t>Will deliver per SOW §2: ≥3 Arabic inputs in input_examples/build_mode/ unless founder agrees in writing to amend SOW to ≥1 before build start.</w:t>
      </w:r>
    </w:p>
    <w:p>
      <w:r>
        <w:rPr>
          <w:b/>
        </w:rPr>
        <w:t xml:space="preserve">Availability: </w:t>
      </w:r>
      <w:r>
        <w:t>Substantial full-time commitment May 22–25 and May 30; no work expected May 26–29 (Eid).</w:t>
      </w:r>
    </w:p>
    <w:p>
      <w:r>
        <w:rPr>
          <w:b/>
        </w:rPr>
        <w:t xml:space="preserve">Timeline: </w:t>
      </w:r>
      <w:r>
        <w:t>May 30 deadline feasible with Day 1 readiness, daily check-ins, and scope-cut sequence per PRD if needed.</w:t>
      </w:r>
    </w:p>
    <w:p>
      <w:r>
        <w:rPr>
          <w:b/>
        </w:rPr>
        <w:t xml:space="preserve">Quote: </w:t>
      </w:r>
      <w:r>
        <w:t>Fixed price $1,300 USD; not-to-exceed $1,500 USD. All invoices in USD.</w:t>
      </w:r>
    </w:p>
    <w:p>
      <w:pPr>
        <w:pStyle w:val="Heading1"/>
      </w:pPr>
      <w:r>
        <w:t>Sign-off</w:t>
      </w:r>
    </w:p>
    <w:p>
      <w:r>
        <w:t>Upon signature, this quote is incorporated into the commercial terms of Developer SOW v2.0.</w:t>
      </w:r>
    </w:p>
    <w:p/>
    <w:p>
      <w:r>
        <w:t>Founder: _____________________________    Date: _______________</w:t>
      </w:r>
    </w:p>
    <w:p/>
    <w:p>
      <w:r>
        <w:t>Developer: ___________________________    Date: 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