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0332" w14:textId="7CB128BA" w:rsidR="006E6925" w:rsidRDefault="006E6925" w:rsidP="006E6925">
      <w:pPr>
        <w:rPr>
          <w:rFonts w:hint="eastAsia"/>
        </w:rPr>
      </w:pPr>
      <w:r>
        <w:rPr>
          <w:rFonts w:hint="eastAsia"/>
        </w:rPr>
        <w:t>任务二：</w:t>
      </w:r>
    </w:p>
    <w:p w14:paraId="4772142D" w14:textId="77515432" w:rsidR="006A45EE" w:rsidRDefault="00000000">
      <w:pPr>
        <w:spacing w:before="360" w:after="200"/>
        <w:outlineLvl w:val="0"/>
      </w:pPr>
      <w:r>
        <w:rPr>
          <w:b/>
          <w:sz w:val="32"/>
          <w:szCs w:val="32"/>
        </w:rPr>
        <w:t>一、引言与背景</w:t>
      </w:r>
    </w:p>
    <w:p w14:paraId="7E7CE4E0" w14:textId="77777777" w:rsidR="006A45EE" w:rsidRDefault="00000000">
      <w:pPr>
        <w:spacing w:after="120" w:line="360" w:lineRule="auto"/>
      </w:pPr>
      <w:r>
        <w:t>路径规划是人工智能与机器人领域的核心问题之一，其目标是在给定的环境中找到一条从起点到终点、满足约束（如避开障碍物、代价最小）的可行路径。在栅格地图中，路径规划通常被建模为图搜索问题，每个可通行栅格对应图中的一个节点，相邻可通行栅格之间以边相连。</w:t>
      </w:r>
    </w:p>
    <w:p w14:paraId="1865601C" w14:textId="77777777" w:rsidR="006A45EE" w:rsidRDefault="00000000">
      <w:pPr>
        <w:spacing w:after="120" w:line="360" w:lineRule="auto"/>
      </w:pPr>
      <w:r>
        <w:t>A*</w:t>
      </w:r>
      <w:r>
        <w:t>（</w:t>
      </w:r>
      <w:r>
        <w:t>A-star</w:t>
      </w:r>
      <w:r>
        <w:t>）算法由</w:t>
      </w:r>
      <w:r>
        <w:t xml:space="preserve"> Hart</w:t>
      </w:r>
      <w:r>
        <w:t>、</w:t>
      </w:r>
      <w:r>
        <w:t xml:space="preserve">Nilsson </w:t>
      </w:r>
      <w:r>
        <w:t>和</w:t>
      </w:r>
      <w:r>
        <w:t xml:space="preserve"> Raphael </w:t>
      </w:r>
      <w:r>
        <w:t>于</w:t>
      </w:r>
      <w:r>
        <w:t xml:space="preserve"> 1968 </w:t>
      </w:r>
      <w:r>
        <w:t>年提出，是一种经典的启发式搜索算法。它结合了</w:t>
      </w:r>
      <w:r>
        <w:t xml:space="preserve"> Dijkstra </w:t>
      </w:r>
      <w:r>
        <w:t>算法的最优性保证与贪心最佳优先搜索的高效性，通过评估函数</w:t>
      </w:r>
      <w:r>
        <w:t xml:space="preserve"> f(n)=g(n)+w·h(n) </w:t>
      </w:r>
      <w:r>
        <w:t>在搜索过程中兼顾</w:t>
      </w:r>
      <w:r>
        <w:t>“</w:t>
      </w:r>
      <w:r>
        <w:t>已付出的实际代价</w:t>
      </w:r>
      <w:r>
        <w:t>”</w:t>
      </w:r>
      <w:r>
        <w:t>与</w:t>
      </w:r>
      <w:r>
        <w:t>“</w:t>
      </w:r>
      <w:r>
        <w:t>到目标的估计代价</w:t>
      </w:r>
      <w:r>
        <w:t>”</w:t>
      </w:r>
      <w:r>
        <w:t>，在保证找到最优路径（当启发式满足可采纳性）的同时，大幅减少扩展的节点数量。</w:t>
      </w:r>
      <w:r>
        <w:t xml:space="preserve">A* </w:t>
      </w:r>
      <w:r>
        <w:t>算法被广泛应用于游戏寻路、机器人导航、自动驾驶、地图路线规划等领域。</w:t>
      </w:r>
    </w:p>
    <w:p w14:paraId="0424DA08" w14:textId="09885D00" w:rsidR="006A45EE" w:rsidRDefault="00000000">
      <w:pPr>
        <w:spacing w:after="120" w:line="360" w:lineRule="auto"/>
      </w:pPr>
      <w:r>
        <w:t>本作业在</w:t>
      </w:r>
      <w:r>
        <w:t xml:space="preserve"> 15×15 </w:t>
      </w:r>
      <w:r>
        <w:t>的栅格地图上实现了一个完整的</w:t>
      </w:r>
      <w:r>
        <w:t xml:space="preserve"> A* </w:t>
      </w:r>
      <w:r>
        <w:t>路径规划器，并围绕邻域模型（</w:t>
      </w:r>
      <w:r>
        <w:t xml:space="preserve">4 </w:t>
      </w:r>
      <w:r>
        <w:t>邻域</w:t>
      </w:r>
      <w:r>
        <w:t xml:space="preserve"> / 8 </w:t>
      </w:r>
      <w:r>
        <w:t>邻域）与启发式函数（曼哈顿、欧氏、切比雪夫、八向</w:t>
      </w:r>
      <w:r>
        <w:t xml:space="preserve"> Octile</w:t>
      </w:r>
      <w:r w:rsidR="006E6925">
        <w:rPr>
          <w:rFonts w:hint="eastAsia"/>
        </w:rPr>
        <w:t>、零启发式</w:t>
      </w:r>
      <w:r>
        <w:t>）两个维度进行系统对比实验，分析不同参数配置对路径质量（路径节点数、路径总代价）与搜索效率（扩展节点数）的影响。</w:t>
      </w:r>
    </w:p>
    <w:p w14:paraId="14CD1FCE" w14:textId="77777777" w:rsidR="006A45EE" w:rsidRDefault="00000000">
      <w:pPr>
        <w:spacing w:before="360" w:after="200"/>
        <w:outlineLvl w:val="0"/>
      </w:pPr>
      <w:r>
        <w:rPr>
          <w:b/>
          <w:sz w:val="32"/>
          <w:szCs w:val="32"/>
        </w:rPr>
        <w:t>二、算法原理与数学模型</w:t>
      </w:r>
    </w:p>
    <w:p w14:paraId="1C49CC79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2.1 </w:t>
      </w:r>
      <w:r>
        <w:rPr>
          <w:b/>
          <w:sz w:val="26"/>
          <w:szCs w:val="26"/>
        </w:rPr>
        <w:t>评估函数</w:t>
      </w:r>
    </w:p>
    <w:p w14:paraId="5635FEFE" w14:textId="77777777" w:rsidR="006A45EE" w:rsidRDefault="00000000">
      <w:pPr>
        <w:spacing w:after="120" w:line="360" w:lineRule="auto"/>
      </w:pPr>
      <w:r>
        <w:t xml:space="preserve">A* </w:t>
      </w:r>
      <w:r>
        <w:t>算法的核心是评估函数：</w:t>
      </w:r>
    </w:p>
    <w:p w14:paraId="70844996" w14:textId="77777777" w:rsidR="006A45EE" w:rsidRDefault="00000000">
      <w:pPr>
        <w:spacing w:after="120" w:line="360" w:lineRule="auto"/>
        <w:jc w:val="center"/>
      </w:pPr>
      <w:r>
        <w:rPr>
          <w:b/>
        </w:rPr>
        <w:t>f(n) = g(n) + w · h(n)</w:t>
      </w:r>
    </w:p>
    <w:p w14:paraId="1E07EE3D" w14:textId="77777777" w:rsidR="006A45EE" w:rsidRDefault="00000000">
      <w:pPr>
        <w:spacing w:after="120" w:line="360" w:lineRule="auto"/>
      </w:pPr>
      <w:r>
        <w:t>其中</w:t>
      </w:r>
      <w:r>
        <w:t xml:space="preserve"> g(n) </w:t>
      </w:r>
      <w:r>
        <w:t>表示从起点到当前节点</w:t>
      </w:r>
      <w:r>
        <w:t xml:space="preserve"> n </w:t>
      </w:r>
      <w:r>
        <w:t>的实际累计代价；</w:t>
      </w:r>
      <w:r>
        <w:t xml:space="preserve">h(n) </w:t>
      </w:r>
      <w:r>
        <w:t>为启发式函数，表示从</w:t>
      </w:r>
      <w:r>
        <w:t xml:space="preserve"> n </w:t>
      </w:r>
      <w:r>
        <w:t>到目标点的估计代价；</w:t>
      </w:r>
      <w:r>
        <w:t xml:space="preserve">w </w:t>
      </w:r>
      <w:r>
        <w:t>为权重系数（本作业取</w:t>
      </w:r>
      <w:r>
        <w:t xml:space="preserve"> w=1.0</w:t>
      </w:r>
      <w:r>
        <w:t>）。当</w:t>
      </w:r>
      <w:r>
        <w:t xml:space="preserve"> w=1 </w:t>
      </w:r>
      <w:r>
        <w:t>且</w:t>
      </w:r>
      <w:r>
        <w:t xml:space="preserve"> h(n) </w:t>
      </w:r>
      <w:r>
        <w:t>可采纳时，</w:t>
      </w:r>
      <w:r>
        <w:t xml:space="preserve">A* </w:t>
      </w:r>
      <w:r>
        <w:t>保证返回最优路径。</w:t>
      </w:r>
    </w:p>
    <w:p w14:paraId="314B5F9F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2.2 </w:t>
      </w:r>
      <w:r>
        <w:rPr>
          <w:b/>
          <w:sz w:val="26"/>
          <w:szCs w:val="26"/>
        </w:rPr>
        <w:t>邻域模型与移动代价</w:t>
      </w:r>
    </w:p>
    <w:p w14:paraId="33A018D9" w14:textId="77777777" w:rsidR="006A45EE" w:rsidRDefault="00000000">
      <w:pPr>
        <w:spacing w:after="120" w:line="360" w:lineRule="auto"/>
      </w:pPr>
      <w:r>
        <w:t xml:space="preserve">4 </w:t>
      </w:r>
      <w:r>
        <w:t>邻域：只允许沿上下左右四个正交方向移动，单步移动代价为</w:t>
      </w:r>
      <w:r>
        <w:t xml:space="preserve"> 1</w:t>
      </w:r>
      <w:r>
        <w:t>。</w:t>
      </w:r>
      <w:r>
        <w:t xml:space="preserve">8 </w:t>
      </w:r>
      <w:r>
        <w:t>邻域：在</w:t>
      </w:r>
      <w:r>
        <w:t xml:space="preserve"> 4 </w:t>
      </w:r>
      <w:r>
        <w:t>邻域基础上增加四个对角线方向，正交移动代价为</w:t>
      </w:r>
      <w:r>
        <w:t xml:space="preserve"> 1</w:t>
      </w:r>
      <w:r>
        <w:t>，对角线移动代价为</w:t>
      </w:r>
      <w:r>
        <w:t xml:space="preserve"> √2≈1.414</w:t>
      </w:r>
      <w:r>
        <w:t>。</w:t>
      </w:r>
    </w:p>
    <w:p w14:paraId="1FE61E9E" w14:textId="2CFC4A88" w:rsidR="006A45EE" w:rsidRDefault="00000000">
      <w:pPr>
        <w:spacing w:after="120" w:line="360" w:lineRule="auto"/>
      </w:pPr>
      <w:r>
        <w:t>禁止切角约束：在</w:t>
      </w:r>
      <w:r>
        <w:t xml:space="preserve"> 8 </w:t>
      </w:r>
      <w:r>
        <w:t>邻域中，若不允许</w:t>
      </w:r>
      <w:r>
        <w:t>“</w:t>
      </w:r>
      <w:r>
        <w:t>切角</w:t>
      </w:r>
      <w:r>
        <w:t>”</w:t>
      </w:r>
      <w:r>
        <w:t>，则对角线移动仅当与其相邻的两个正交栅格均可通行时才被允许，从而防止路径穿过障碍物之间的斜角缝隙。本实验均禁止切角。</w:t>
      </w:r>
    </w:p>
    <w:p w14:paraId="5A314872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2.3 </w:t>
      </w:r>
      <w:r>
        <w:rPr>
          <w:b/>
          <w:sz w:val="26"/>
          <w:szCs w:val="26"/>
        </w:rPr>
        <w:t>启发式函数</w:t>
      </w:r>
    </w:p>
    <w:p w14:paraId="2FB52E55" w14:textId="5EF4AAB7" w:rsidR="006A45EE" w:rsidRDefault="00000000">
      <w:pPr>
        <w:spacing w:after="120" w:line="360" w:lineRule="auto"/>
      </w:pPr>
      <w:r>
        <w:lastRenderedPageBreak/>
        <w:t>设</w:t>
      </w:r>
      <w:r>
        <w:t xml:space="preserve"> dx=|x</w:t>
      </w:r>
      <w:r w:rsidR="006E6925" w:rsidRPr="006E6925">
        <w:rPr>
          <w:rFonts w:hint="eastAsia"/>
          <w:vertAlign w:val="subscript"/>
        </w:rPr>
        <w:t>1</w:t>
      </w:r>
      <w:r>
        <w:t>−x</w:t>
      </w:r>
      <w:r w:rsidR="006E6925" w:rsidRPr="006E6925">
        <w:rPr>
          <w:rFonts w:hint="eastAsia"/>
          <w:vertAlign w:val="subscript"/>
        </w:rPr>
        <w:t>2</w:t>
      </w:r>
      <w:r>
        <w:t>|</w:t>
      </w:r>
      <w:r>
        <w:t>，</w:t>
      </w:r>
      <w:r>
        <w:t>dy=|y</w:t>
      </w:r>
      <w:r w:rsidR="006E6925" w:rsidRPr="006E6925">
        <w:rPr>
          <w:rFonts w:hint="eastAsia"/>
          <w:vertAlign w:val="subscript"/>
        </w:rPr>
        <w:t>1</w:t>
      </w:r>
      <w:r>
        <w:t>−y</w:t>
      </w:r>
      <w:r w:rsidR="006E6925" w:rsidRPr="006E6925">
        <w:rPr>
          <w:rFonts w:hint="eastAsia"/>
          <w:vertAlign w:val="subscript"/>
        </w:rPr>
        <w:t>2</w:t>
      </w:r>
      <w:r>
        <w:t>|</w:t>
      </w:r>
      <w:r>
        <w:t>，本作业实现了五种启发式：</w:t>
      </w:r>
    </w:p>
    <w:p w14:paraId="54BF4274" w14:textId="77777777" w:rsidR="006A45EE" w:rsidRDefault="00000000">
      <w:pPr>
        <w:spacing w:after="120" w:line="360" w:lineRule="auto"/>
      </w:pPr>
      <w:r>
        <w:t>曼哈顿距离：</w:t>
      </w:r>
      <w:r>
        <w:t>h = dx + dy</w:t>
      </w:r>
      <w:r>
        <w:t>；欧氏距离：</w:t>
      </w:r>
      <w:r>
        <w:t>h = √(dx²+dy²)</w:t>
      </w:r>
      <w:r>
        <w:t>；切比雪夫距离：</w:t>
      </w:r>
      <w:r>
        <w:t>h = max(dx, dy)</w:t>
      </w:r>
      <w:r>
        <w:t>；八向距离（</w:t>
      </w:r>
      <w:r>
        <w:t>Octile</w:t>
      </w:r>
      <w:r>
        <w:t>）：</w:t>
      </w:r>
      <w:r>
        <w:t>h = max(dx,dy) + (√2−1)·min(dx,dy)</w:t>
      </w:r>
      <w:r>
        <w:t>；零启发式：</w:t>
      </w:r>
      <w:r>
        <w:t>h = 0</w:t>
      </w:r>
      <w:r>
        <w:t>（退化为</w:t>
      </w:r>
      <w:r>
        <w:t xml:space="preserve"> Dijkstra </w:t>
      </w:r>
      <w:r>
        <w:t>算法）。</w:t>
      </w:r>
    </w:p>
    <w:p w14:paraId="4865323C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2.4 </w:t>
      </w:r>
      <w:r>
        <w:rPr>
          <w:b/>
          <w:sz w:val="26"/>
          <w:szCs w:val="26"/>
        </w:rPr>
        <w:t>可采纳性与一致性</w:t>
      </w:r>
    </w:p>
    <w:p w14:paraId="6D44F652" w14:textId="77777777" w:rsidR="006A45EE" w:rsidRDefault="00000000">
      <w:pPr>
        <w:spacing w:after="120" w:line="360" w:lineRule="auto"/>
      </w:pPr>
      <w:r>
        <w:t>可采纳性：对任意节点</w:t>
      </w:r>
      <w:r>
        <w:t xml:space="preserve"> n</w:t>
      </w:r>
      <w:r>
        <w:t>，</w:t>
      </w:r>
      <w:r>
        <w:t>h(n) ≤ h*(n)</w:t>
      </w:r>
      <w:r>
        <w:t>（</w:t>
      </w:r>
      <w:r>
        <w:t xml:space="preserve">h* </w:t>
      </w:r>
      <w:r>
        <w:t>为真实最优代价）。满足可采纳性的启发式保证</w:t>
      </w:r>
      <w:r>
        <w:t xml:space="preserve"> A* </w:t>
      </w:r>
      <w:r>
        <w:t>找到最优解。一致性（单调性）：</w:t>
      </w:r>
      <w:r>
        <w:t>h(n) ≤ c(n,n′)+h(n′)</w:t>
      </w:r>
      <w:r>
        <w:t>，一致性启发式可避免重复扩展、提高效率。曼哈顿距离在</w:t>
      </w:r>
      <w:r>
        <w:t xml:space="preserve"> 8 </w:t>
      </w:r>
      <w:r>
        <w:t>邻域下不是可采纳的（因为对角线代价</w:t>
      </w:r>
      <w:r>
        <w:t xml:space="preserve"> √2 &lt; 2</w:t>
      </w:r>
      <w:r>
        <w:t>），故</w:t>
      </w:r>
      <w:r>
        <w:t xml:space="preserve"> 8 </w:t>
      </w:r>
      <w:r>
        <w:t>邻域实验不使用曼哈顿启发式；八向距离（</w:t>
      </w:r>
      <w:r>
        <w:t>Octile</w:t>
      </w:r>
      <w:r>
        <w:t>）是</w:t>
      </w:r>
      <w:r>
        <w:t xml:space="preserve"> 8 </w:t>
      </w:r>
      <w:r>
        <w:t>邻域下的一致且最优的启发式。</w:t>
      </w:r>
    </w:p>
    <w:p w14:paraId="09AA8F6B" w14:textId="77777777" w:rsidR="006A45EE" w:rsidRDefault="00000000">
      <w:pPr>
        <w:spacing w:before="360" w:after="200"/>
        <w:outlineLvl w:val="0"/>
      </w:pPr>
      <w:r>
        <w:rPr>
          <w:b/>
          <w:sz w:val="32"/>
          <w:szCs w:val="32"/>
        </w:rPr>
        <w:t>三、代码实现细节分析</w:t>
      </w:r>
    </w:p>
    <w:p w14:paraId="6F4CB770" w14:textId="214D93BE" w:rsidR="006A45EE" w:rsidRDefault="00000000">
      <w:pPr>
        <w:spacing w:after="120" w:line="360" w:lineRule="auto"/>
      </w:pPr>
      <w:r>
        <w:t>程序由三个核心类与若干辅助函数构成：</w:t>
      </w:r>
      <w:r>
        <w:t>GridMap</w:t>
      </w:r>
      <w:r>
        <w:t>（栅格地图）、</w:t>
      </w:r>
      <w:r>
        <w:t>AStarPlanner</w:t>
      </w:r>
      <w:r>
        <w:t>（</w:t>
      </w:r>
      <w:r>
        <w:t xml:space="preserve">A* </w:t>
      </w:r>
      <w:r>
        <w:t>规划器）、可视化与主流程。</w:t>
      </w:r>
    </w:p>
    <w:p w14:paraId="6D262D09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3.1 GridMap </w:t>
      </w:r>
      <w:r>
        <w:rPr>
          <w:b/>
          <w:sz w:val="26"/>
          <w:szCs w:val="26"/>
        </w:rPr>
        <w:t>类</w:t>
      </w:r>
      <w:r>
        <w:rPr>
          <w:b/>
          <w:sz w:val="26"/>
          <w:szCs w:val="26"/>
        </w:rPr>
        <w:t xml:space="preserve"> —— </w:t>
      </w:r>
      <w:r>
        <w:rPr>
          <w:b/>
          <w:sz w:val="26"/>
          <w:szCs w:val="26"/>
        </w:rPr>
        <w:t>地图与邻域</w:t>
      </w:r>
    </w:p>
    <w:p w14:paraId="6C9A9B18" w14:textId="77777777" w:rsidR="006A45EE" w:rsidRDefault="00000000">
      <w:pPr>
        <w:spacing w:after="120" w:line="360" w:lineRule="auto"/>
      </w:pPr>
      <w:r>
        <w:t xml:space="preserve">GridMap </w:t>
      </w:r>
      <w:r>
        <w:t>负责地图的存储与合法性校验（每行长度一致、元素仅为</w:t>
      </w:r>
      <w:r>
        <w:t xml:space="preserve"> 0/1</w:t>
      </w:r>
      <w:r>
        <w:t>），并提供</w:t>
      </w:r>
      <w:r>
        <w:t xml:space="preserve"> in_bounds</w:t>
      </w:r>
      <w:r>
        <w:t>（越界判断）、</w:t>
      </w:r>
      <w:r>
        <w:t>is_free</w:t>
      </w:r>
      <w:r>
        <w:t>（可通行判断）、</w:t>
      </w:r>
      <w:r>
        <w:t>neighbors</w:t>
      </w:r>
      <w:r>
        <w:t>（邻域枚举）与</w:t>
      </w:r>
      <w:r>
        <w:t xml:space="preserve"> move_cost</w:t>
      </w:r>
      <w:r>
        <w:t>（移动代价计算）等方法。其中</w:t>
      </w:r>
      <w:r>
        <w:t xml:space="preserve"> neighbors </w:t>
      </w:r>
      <w:r>
        <w:t>方法根据</w:t>
      </w:r>
      <w:r>
        <w:t xml:space="preserve"> connectivity </w:t>
      </w:r>
      <w:r>
        <w:t>参数（</w:t>
      </w:r>
      <w:r>
        <w:t xml:space="preserve">4 </w:t>
      </w:r>
      <w:r>
        <w:t>或</w:t>
      </w:r>
      <w:r>
        <w:t xml:space="preserve"> 8</w:t>
      </w:r>
      <w:r>
        <w:t>）返回不同的邻域，并在</w:t>
      </w:r>
      <w:r>
        <w:t xml:space="preserve"> 8 </w:t>
      </w:r>
      <w:r>
        <w:t>邻域下实现禁止切角逻辑：对角线移动要求两个相邻正交栅格均可通行。</w:t>
      </w:r>
    </w:p>
    <w:p w14:paraId="023CC60F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3.2 AStarPlanner </w:t>
      </w:r>
      <w:r>
        <w:rPr>
          <w:b/>
          <w:sz w:val="26"/>
          <w:szCs w:val="26"/>
        </w:rPr>
        <w:t>类</w:t>
      </w:r>
      <w:r>
        <w:rPr>
          <w:b/>
          <w:sz w:val="26"/>
          <w:szCs w:val="26"/>
        </w:rPr>
        <w:t xml:space="preserve"> —— </w:t>
      </w:r>
      <w:r>
        <w:rPr>
          <w:b/>
          <w:sz w:val="26"/>
          <w:szCs w:val="26"/>
        </w:rPr>
        <w:t>搜索核心</w:t>
      </w:r>
    </w:p>
    <w:p w14:paraId="7086D4EF" w14:textId="77777777" w:rsidR="006A45EE" w:rsidRDefault="00000000">
      <w:pPr>
        <w:spacing w:after="120" w:line="360" w:lineRule="auto"/>
      </w:pPr>
      <w:r>
        <w:t xml:space="preserve">AStarPlanner </w:t>
      </w:r>
      <w:r>
        <w:t>封装启发式分派（</w:t>
      </w:r>
      <w:r>
        <w:t xml:space="preserve">heuristic </w:t>
      </w:r>
      <w:r>
        <w:t>方法）与主搜索循环（</w:t>
      </w:r>
      <w:r>
        <w:t xml:space="preserve">search </w:t>
      </w:r>
      <w:r>
        <w:t>方法）。关键实现如下：</w:t>
      </w:r>
    </w:p>
    <w:p w14:paraId="7FA3CA76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>open_heap = []            # 最小堆，元素为 (f值, 计数器, 节点)</w:t>
      </w:r>
    </w:p>
    <w:p w14:paraId="499B0887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>g_score = {start: 0.0}      # 起点到各节点的实际代价</w:t>
      </w:r>
    </w:p>
    <w:p w14:paraId="5BA30007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>f_score = {start: weight * heuristic(start, goal)}</w:t>
      </w:r>
    </w:p>
    <w:p w14:paraId="1744F658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>heapq.heappush(open_heap, (f_score[start], counter, start))</w:t>
      </w:r>
    </w:p>
    <w:p w14:paraId="4BAB53BA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>while open_heap:</w:t>
      </w:r>
    </w:p>
    <w:p w14:paraId="06B7E489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f, _, current = heapq.heappop(open_heap)</w:t>
      </w:r>
    </w:p>
    <w:p w14:paraId="57C706B4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if current in closed: continue</w:t>
      </w:r>
    </w:p>
    <w:p w14:paraId="0959044E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if current == goal: return path, cost, visited, closed</w:t>
      </w:r>
    </w:p>
    <w:p w14:paraId="3706E0CE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closed.add(current)</w:t>
      </w:r>
    </w:p>
    <w:p w14:paraId="1DEB08B8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for nxt, dr, dc in neighbors(current):</w:t>
      </w:r>
    </w:p>
    <w:p w14:paraId="5CBA3211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    tentative_g = g_score[current] + move_cost(current, nxt)</w:t>
      </w:r>
    </w:p>
    <w:p w14:paraId="6E1F8AFE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    if tentative_g &lt; g_score.get(nxt, inf):</w:t>
      </w:r>
    </w:p>
    <w:p w14:paraId="4B2423CA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        came_from[nxt] = current</w:t>
      </w:r>
    </w:p>
    <w:p w14:paraId="447DDD6A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        g_score[nxt] = tentative_g</w:t>
      </w:r>
    </w:p>
    <w:p w14:paraId="2BA40DF7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        f_new = tentative_g + weight * heuristic(nxt, goal)</w:t>
      </w:r>
    </w:p>
    <w:p w14:paraId="4FB88A21" w14:textId="77777777" w:rsidR="006A45EE" w:rsidRDefault="00000000">
      <w:pPr>
        <w:shd w:val="clear" w:color="auto" w:fill="F5F5F5"/>
        <w:spacing w:after="0" w:line="240" w:lineRule="auto"/>
      </w:pPr>
      <w:r>
        <w:rPr>
          <w:rFonts w:ascii="Consolas" w:eastAsia="Consolas" w:hAnsi="Consolas"/>
          <w:sz w:val="18"/>
          <w:szCs w:val="18"/>
        </w:rPr>
        <w:t xml:space="preserve">            heapq.heappush(open_heap, (f_new, counter, nxt))</w:t>
      </w:r>
    </w:p>
    <w:p w14:paraId="7598062D" w14:textId="77777777" w:rsidR="006A45EE" w:rsidRDefault="00000000">
      <w:pPr>
        <w:spacing w:after="120" w:line="360" w:lineRule="auto"/>
      </w:pPr>
      <w:r>
        <w:lastRenderedPageBreak/>
        <w:t>其中</w:t>
      </w:r>
      <w:r>
        <w:t xml:space="preserve"> heap </w:t>
      </w:r>
      <w:r>
        <w:t>中的计数器（</w:t>
      </w:r>
      <w:r>
        <w:t>counter</w:t>
      </w:r>
      <w:r>
        <w:t>）用于在</w:t>
      </w:r>
      <w:r>
        <w:t xml:space="preserve"> f </w:t>
      </w:r>
      <w:r>
        <w:t>值相同时保持稳定的入队顺序，避免相同优先级节点比较出错；</w:t>
      </w:r>
      <w:r>
        <w:t xml:space="preserve">closed </w:t>
      </w:r>
      <w:r>
        <w:t>集合用于避免重复扩展已确定节点；</w:t>
      </w:r>
      <w:r>
        <w:t xml:space="preserve">came_from </w:t>
      </w:r>
      <w:r>
        <w:t>字典用于回溯重建路径。</w:t>
      </w:r>
      <w:r>
        <w:t xml:space="preserve">search </w:t>
      </w:r>
      <w:r>
        <w:t>方法返回（路径、总代价、扩展节点数、</w:t>
      </w:r>
      <w:r>
        <w:t xml:space="preserve">closed </w:t>
      </w:r>
      <w:r>
        <w:t>集合）四元组。</w:t>
      </w:r>
    </w:p>
    <w:p w14:paraId="6431E5A8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3.3 </w:t>
      </w:r>
      <w:r>
        <w:rPr>
          <w:b/>
          <w:sz w:val="26"/>
          <w:szCs w:val="26"/>
        </w:rPr>
        <w:t>路径重建与可视化</w:t>
      </w:r>
    </w:p>
    <w:p w14:paraId="69443ADD" w14:textId="77777777" w:rsidR="006A45EE" w:rsidRDefault="00000000">
      <w:pPr>
        <w:spacing w:after="120" w:line="360" w:lineRule="auto"/>
      </w:pPr>
      <w:r>
        <w:t xml:space="preserve">_reconstruct_path </w:t>
      </w:r>
      <w:r>
        <w:t>方法从目标节点沿</w:t>
      </w:r>
      <w:r>
        <w:t xml:space="preserve"> came_from </w:t>
      </w:r>
      <w:r>
        <w:t>回溯到起点并反转得到完整路径。可视化部分提供两种输出：</w:t>
      </w:r>
      <w:r>
        <w:t xml:space="preserve">print_grid_with_path </w:t>
      </w:r>
      <w:r>
        <w:t>生成终端字符画（</w:t>
      </w:r>
      <w:r>
        <w:t xml:space="preserve">S </w:t>
      </w:r>
      <w:r>
        <w:t>起点、</w:t>
      </w:r>
      <w:r>
        <w:t xml:space="preserve">G </w:t>
      </w:r>
      <w:r>
        <w:t>终点、</w:t>
      </w:r>
      <w:r>
        <w:t xml:space="preserve">* </w:t>
      </w:r>
      <w:r>
        <w:t>路径、</w:t>
      </w:r>
      <w:r>
        <w:t xml:space="preserve"># </w:t>
      </w:r>
      <w:r>
        <w:t>障碍、</w:t>
      </w:r>
      <w:r>
        <w:t xml:space="preserve">. </w:t>
      </w:r>
      <w:r>
        <w:t>空地）；</w:t>
      </w:r>
      <w:r>
        <w:t xml:space="preserve">visualize_path </w:t>
      </w:r>
      <w:r>
        <w:t>使用</w:t>
      </w:r>
      <w:r>
        <w:t xml:space="preserve"> Matplotlib </w:t>
      </w:r>
      <w:r>
        <w:t>绘制图形化栅格地图。</w:t>
      </w:r>
      <w:r>
        <w:t xml:space="preserve">main </w:t>
      </w:r>
      <w:r>
        <w:t>函数遍历</w:t>
      </w:r>
      <w:r>
        <w:t xml:space="preserve"> 2 </w:t>
      </w:r>
      <w:r>
        <w:t>种邻域</w:t>
      </w:r>
      <w:r>
        <w:t xml:space="preserve"> × 5 </w:t>
      </w:r>
      <w:r>
        <w:t>种启发式（</w:t>
      </w:r>
      <w:r>
        <w:t xml:space="preserve">8 </w:t>
      </w:r>
      <w:r>
        <w:t>邻域跳过曼哈顿），输出每组的路径指标、终端示意图与汇总对比表。</w:t>
      </w:r>
    </w:p>
    <w:p w14:paraId="79933282" w14:textId="77777777" w:rsidR="006A45EE" w:rsidRDefault="00000000">
      <w:pPr>
        <w:spacing w:before="360" w:after="200"/>
        <w:outlineLvl w:val="0"/>
      </w:pPr>
      <w:r>
        <w:rPr>
          <w:b/>
          <w:sz w:val="32"/>
          <w:szCs w:val="32"/>
        </w:rPr>
        <w:t>四、实验结果与数据分析</w:t>
      </w:r>
    </w:p>
    <w:p w14:paraId="1F059998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4.1 </w:t>
      </w:r>
      <w:r>
        <w:rPr>
          <w:b/>
          <w:sz w:val="26"/>
          <w:szCs w:val="26"/>
        </w:rPr>
        <w:t>实验设置</w:t>
      </w:r>
    </w:p>
    <w:p w14:paraId="34E21324" w14:textId="77777777" w:rsidR="006A45EE" w:rsidRDefault="00000000">
      <w:pPr>
        <w:spacing w:after="120" w:line="360" w:lineRule="auto"/>
      </w:pPr>
      <w:r>
        <w:t xml:space="preserve">15×15 </w:t>
      </w:r>
      <w:r>
        <w:t>栅格地图（</w:t>
      </w:r>
      <w:r>
        <w:t xml:space="preserve">0 </w:t>
      </w:r>
      <w:r>
        <w:t>可通行、</w:t>
      </w:r>
      <w:r>
        <w:t xml:space="preserve">1 </w:t>
      </w:r>
      <w:r>
        <w:t>障碍），起点</w:t>
      </w:r>
      <w:r>
        <w:t xml:space="preserve"> S=(0,0)</w:t>
      </w:r>
      <w:r>
        <w:t>，终点</w:t>
      </w:r>
      <w:r>
        <w:t xml:space="preserve"> G=(14,14)</w:t>
      </w:r>
      <w:r>
        <w:t>，权重</w:t>
      </w:r>
      <w:r>
        <w:t xml:space="preserve"> w=1.0</w:t>
      </w:r>
      <w:r>
        <w:t>，禁止切角。对</w:t>
      </w:r>
      <w:r>
        <w:t xml:space="preserve"> 4 </w:t>
      </w:r>
      <w:r>
        <w:t>邻域与</w:t>
      </w:r>
      <w:r>
        <w:t xml:space="preserve"> 8 </w:t>
      </w:r>
      <w:r>
        <w:t>邻域分别测试曼哈顿、欧氏、切比雪夫、八向（</w:t>
      </w:r>
      <w:r>
        <w:t>Octile</w:t>
      </w:r>
      <w:r>
        <w:t>）、零启发式共</w:t>
      </w:r>
      <w:r>
        <w:t xml:space="preserve"> 9 </w:t>
      </w:r>
      <w:r>
        <w:t>组配置（</w:t>
      </w:r>
      <w:r>
        <w:t xml:space="preserve">8 </w:t>
      </w:r>
      <w:r>
        <w:t>邻域下曼哈顿不可采纳故略去）。</w:t>
      </w:r>
    </w:p>
    <w:p w14:paraId="60052B63" w14:textId="77777777" w:rsidR="006A45EE" w:rsidRDefault="00000000">
      <w:pPr>
        <w:spacing w:before="240" w:after="120"/>
        <w:outlineLvl w:val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4.2 </w:t>
      </w:r>
      <w:r>
        <w:rPr>
          <w:b/>
          <w:sz w:val="26"/>
          <w:szCs w:val="26"/>
        </w:rPr>
        <w:t>汇总结果表</w:t>
      </w:r>
    </w:p>
    <w:p w14:paraId="20B60E99" w14:textId="175239D8" w:rsidR="007F0198" w:rsidRDefault="007F0198" w:rsidP="007F0198">
      <w:pPr>
        <w:spacing w:before="60" w:after="200"/>
        <w:jc w:val="center"/>
      </w:pPr>
      <w:r>
        <w:rPr>
          <w:rFonts w:hint="eastAsia"/>
          <w:color w:val="555555"/>
          <w:sz w:val="20"/>
          <w:szCs w:val="20"/>
        </w:rPr>
        <w:t>表</w:t>
      </w:r>
      <w:r>
        <w:rPr>
          <w:color w:val="555555"/>
          <w:sz w:val="20"/>
          <w:szCs w:val="20"/>
        </w:rPr>
        <w:t xml:space="preserve"> 1</w:t>
      </w:r>
      <w:r>
        <w:rPr>
          <w:color w:val="555555"/>
          <w:sz w:val="20"/>
          <w:szCs w:val="20"/>
        </w:rPr>
        <w:t xml:space="preserve">　</w:t>
      </w:r>
      <w:r>
        <w:rPr>
          <w:rFonts w:hint="eastAsia"/>
          <w:color w:val="555555"/>
          <w:sz w:val="20"/>
          <w:szCs w:val="20"/>
        </w:rPr>
        <w:t>汇总结果表</w:t>
      </w:r>
    </w:p>
    <w:p w14:paraId="2EA590F0" w14:textId="77777777" w:rsidR="007F0198" w:rsidRPr="007F0198" w:rsidRDefault="007F0198" w:rsidP="007F0198">
      <w:pPr>
        <w:spacing w:before="240" w:after="120"/>
        <w:jc w:val="center"/>
        <w:outlineLvl w:val="1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834"/>
        <w:gridCol w:w="1436"/>
        <w:gridCol w:w="1436"/>
        <w:gridCol w:w="1436"/>
        <w:gridCol w:w="1436"/>
      </w:tblGrid>
      <w:tr w:rsidR="006A45EE" w14:paraId="4B247778" w14:textId="77777777" w:rsidTr="007F0198">
        <w:trPr>
          <w:jc w:val="center"/>
        </w:trPr>
        <w:tc>
          <w:tcPr>
            <w:tcW w:w="0" w:type="auto"/>
            <w:shd w:val="clear" w:color="auto" w:fill="DDEBF7"/>
          </w:tcPr>
          <w:p w14:paraId="415E509A" w14:textId="77777777" w:rsidR="006A45EE" w:rsidRDefault="00000000" w:rsidP="007F0198">
            <w:pPr>
              <w:spacing w:after="0"/>
              <w:jc w:val="center"/>
            </w:pPr>
            <w:r>
              <w:rPr>
                <w:b/>
                <w:sz w:val="20"/>
                <w:szCs w:val="20"/>
              </w:rPr>
              <w:t>邻域</w:t>
            </w:r>
          </w:p>
        </w:tc>
        <w:tc>
          <w:tcPr>
            <w:tcW w:w="0" w:type="auto"/>
            <w:shd w:val="clear" w:color="auto" w:fill="DDEBF7"/>
          </w:tcPr>
          <w:p w14:paraId="5A470367" w14:textId="77777777" w:rsidR="006A45EE" w:rsidRDefault="00000000" w:rsidP="007F0198">
            <w:pPr>
              <w:spacing w:after="0"/>
              <w:jc w:val="center"/>
            </w:pPr>
            <w:r>
              <w:rPr>
                <w:b/>
                <w:sz w:val="20"/>
                <w:szCs w:val="20"/>
              </w:rPr>
              <w:t>启发式函数</w:t>
            </w:r>
          </w:p>
        </w:tc>
        <w:tc>
          <w:tcPr>
            <w:tcW w:w="0" w:type="auto"/>
            <w:shd w:val="clear" w:color="auto" w:fill="DDEBF7"/>
          </w:tcPr>
          <w:p w14:paraId="715A6FFD" w14:textId="77777777" w:rsidR="006A45EE" w:rsidRDefault="00000000" w:rsidP="007F0198">
            <w:pPr>
              <w:spacing w:after="0"/>
              <w:jc w:val="center"/>
            </w:pPr>
            <w:r>
              <w:rPr>
                <w:b/>
                <w:sz w:val="20"/>
                <w:szCs w:val="20"/>
              </w:rPr>
              <w:t>路径节点数</w:t>
            </w:r>
          </w:p>
        </w:tc>
        <w:tc>
          <w:tcPr>
            <w:tcW w:w="0" w:type="auto"/>
            <w:shd w:val="clear" w:color="auto" w:fill="DDEBF7"/>
          </w:tcPr>
          <w:p w14:paraId="35873A7E" w14:textId="77777777" w:rsidR="006A45EE" w:rsidRDefault="00000000" w:rsidP="007F0198">
            <w:pPr>
              <w:spacing w:after="0"/>
              <w:jc w:val="center"/>
            </w:pPr>
            <w:r>
              <w:rPr>
                <w:b/>
                <w:sz w:val="20"/>
                <w:szCs w:val="20"/>
              </w:rPr>
              <w:t>路径总代价</w:t>
            </w:r>
          </w:p>
        </w:tc>
        <w:tc>
          <w:tcPr>
            <w:tcW w:w="0" w:type="auto"/>
            <w:shd w:val="clear" w:color="auto" w:fill="DDEBF7"/>
          </w:tcPr>
          <w:p w14:paraId="1FDBB7BC" w14:textId="77777777" w:rsidR="006A45EE" w:rsidRDefault="00000000" w:rsidP="007F0198">
            <w:pPr>
              <w:spacing w:after="0"/>
              <w:jc w:val="center"/>
            </w:pPr>
            <w:r>
              <w:rPr>
                <w:b/>
                <w:sz w:val="20"/>
                <w:szCs w:val="20"/>
              </w:rPr>
              <w:t>扩展节点数</w:t>
            </w:r>
          </w:p>
        </w:tc>
      </w:tr>
      <w:tr w:rsidR="006A45EE" w14:paraId="210A40BE" w14:textId="77777777" w:rsidTr="007F0198">
        <w:trPr>
          <w:jc w:val="center"/>
        </w:trPr>
        <w:tc>
          <w:tcPr>
            <w:tcW w:w="0" w:type="auto"/>
          </w:tcPr>
          <w:p w14:paraId="51081E12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3F766C76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曼哈顿</w:t>
            </w:r>
          </w:p>
        </w:tc>
        <w:tc>
          <w:tcPr>
            <w:tcW w:w="0" w:type="auto"/>
          </w:tcPr>
          <w:p w14:paraId="3D2BAF21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4FEA4AAC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28.000</w:t>
            </w:r>
          </w:p>
        </w:tc>
        <w:tc>
          <w:tcPr>
            <w:tcW w:w="0" w:type="auto"/>
          </w:tcPr>
          <w:p w14:paraId="6A3F7F79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135</w:t>
            </w:r>
          </w:p>
        </w:tc>
      </w:tr>
      <w:tr w:rsidR="006A45EE" w14:paraId="7A89D022" w14:textId="77777777" w:rsidTr="007F0198">
        <w:trPr>
          <w:jc w:val="center"/>
        </w:trPr>
        <w:tc>
          <w:tcPr>
            <w:tcW w:w="0" w:type="auto"/>
          </w:tcPr>
          <w:p w14:paraId="21626F33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5850B784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欧氏</w:t>
            </w:r>
          </w:p>
        </w:tc>
        <w:tc>
          <w:tcPr>
            <w:tcW w:w="0" w:type="auto"/>
          </w:tcPr>
          <w:p w14:paraId="2B9D2170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4618A166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28.000</w:t>
            </w:r>
          </w:p>
        </w:tc>
        <w:tc>
          <w:tcPr>
            <w:tcW w:w="0" w:type="auto"/>
          </w:tcPr>
          <w:p w14:paraId="39F4AC7B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</w:tr>
      <w:tr w:rsidR="006A45EE" w14:paraId="00C348CC" w14:textId="77777777" w:rsidTr="007F0198">
        <w:trPr>
          <w:jc w:val="center"/>
        </w:trPr>
        <w:tc>
          <w:tcPr>
            <w:tcW w:w="0" w:type="auto"/>
          </w:tcPr>
          <w:p w14:paraId="1402A64F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44B2E536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切比雪夫</w:t>
            </w:r>
          </w:p>
        </w:tc>
        <w:tc>
          <w:tcPr>
            <w:tcW w:w="0" w:type="auto"/>
          </w:tcPr>
          <w:p w14:paraId="1E103185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6E487A2E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28.000</w:t>
            </w:r>
          </w:p>
        </w:tc>
        <w:tc>
          <w:tcPr>
            <w:tcW w:w="0" w:type="auto"/>
          </w:tcPr>
          <w:p w14:paraId="6D841FC2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</w:tr>
      <w:tr w:rsidR="006A45EE" w14:paraId="1F3C9C16" w14:textId="77777777" w:rsidTr="007F0198">
        <w:trPr>
          <w:jc w:val="center"/>
        </w:trPr>
        <w:tc>
          <w:tcPr>
            <w:tcW w:w="0" w:type="auto"/>
          </w:tcPr>
          <w:p w14:paraId="575A9968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49BC0B70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零启发式</w:t>
            </w:r>
          </w:p>
        </w:tc>
        <w:tc>
          <w:tcPr>
            <w:tcW w:w="0" w:type="auto"/>
          </w:tcPr>
          <w:p w14:paraId="4E0FADAA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</w:tcPr>
          <w:p w14:paraId="4A8634C4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28.000</w:t>
            </w:r>
          </w:p>
        </w:tc>
        <w:tc>
          <w:tcPr>
            <w:tcW w:w="0" w:type="auto"/>
          </w:tcPr>
          <w:p w14:paraId="19A30D29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</w:tr>
      <w:tr w:rsidR="006A45EE" w14:paraId="58132AA6" w14:textId="77777777" w:rsidTr="007F0198">
        <w:trPr>
          <w:jc w:val="center"/>
        </w:trPr>
        <w:tc>
          <w:tcPr>
            <w:tcW w:w="0" w:type="auto"/>
          </w:tcPr>
          <w:p w14:paraId="733CC8B0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7DEBF9D3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欧氏</w:t>
            </w:r>
          </w:p>
        </w:tc>
        <w:tc>
          <w:tcPr>
            <w:tcW w:w="0" w:type="auto"/>
          </w:tcPr>
          <w:p w14:paraId="60DC1773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767C8418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26.828</w:t>
            </w:r>
          </w:p>
        </w:tc>
        <w:tc>
          <w:tcPr>
            <w:tcW w:w="0" w:type="auto"/>
          </w:tcPr>
          <w:p w14:paraId="21E48D73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107</w:t>
            </w:r>
          </w:p>
        </w:tc>
      </w:tr>
      <w:tr w:rsidR="006A45EE" w14:paraId="72101BBC" w14:textId="77777777" w:rsidTr="007F0198">
        <w:trPr>
          <w:jc w:val="center"/>
        </w:trPr>
        <w:tc>
          <w:tcPr>
            <w:tcW w:w="0" w:type="auto"/>
          </w:tcPr>
          <w:p w14:paraId="72581325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37E36169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切比雪夫</w:t>
            </w:r>
          </w:p>
        </w:tc>
        <w:tc>
          <w:tcPr>
            <w:tcW w:w="0" w:type="auto"/>
          </w:tcPr>
          <w:p w14:paraId="291CD36F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51E81E71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26.828</w:t>
            </w:r>
          </w:p>
        </w:tc>
        <w:tc>
          <w:tcPr>
            <w:tcW w:w="0" w:type="auto"/>
          </w:tcPr>
          <w:p w14:paraId="50E4BC14" w14:textId="77777777" w:rsidR="006A45EE" w:rsidRDefault="00000000" w:rsidP="007F0198">
            <w:pPr>
              <w:spacing w:after="0"/>
              <w:jc w:val="center"/>
            </w:pPr>
            <w:r>
              <w:rPr>
                <w:sz w:val="20"/>
                <w:szCs w:val="20"/>
              </w:rPr>
              <w:t>107</w:t>
            </w:r>
          </w:p>
        </w:tc>
      </w:tr>
      <w:tr w:rsidR="006A45EE" w14:paraId="295EEC26" w14:textId="77777777" w:rsidTr="007F0198">
        <w:trPr>
          <w:jc w:val="center"/>
        </w:trPr>
        <w:tc>
          <w:tcPr>
            <w:tcW w:w="0" w:type="auto"/>
          </w:tcPr>
          <w:p w14:paraId="6F04FEA5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</w:tcPr>
          <w:p w14:paraId="2DA9E9D1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八向</w:t>
            </w:r>
            <w:r>
              <w:rPr>
                <w:sz w:val="20"/>
                <w:szCs w:val="20"/>
              </w:rPr>
              <w:t xml:space="preserve"> Octile</w:t>
            </w:r>
          </w:p>
        </w:tc>
        <w:tc>
          <w:tcPr>
            <w:tcW w:w="0" w:type="auto"/>
          </w:tcPr>
          <w:p w14:paraId="6A7BC3BA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29109761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26.828</w:t>
            </w:r>
          </w:p>
        </w:tc>
        <w:tc>
          <w:tcPr>
            <w:tcW w:w="0" w:type="auto"/>
          </w:tcPr>
          <w:p w14:paraId="7C8C31C9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105</w:t>
            </w:r>
          </w:p>
        </w:tc>
      </w:tr>
      <w:tr w:rsidR="006A45EE" w14:paraId="115B2F79" w14:textId="77777777" w:rsidTr="007F0198">
        <w:trPr>
          <w:jc w:val="center"/>
        </w:trPr>
        <w:tc>
          <w:tcPr>
            <w:tcW w:w="0" w:type="auto"/>
          </w:tcPr>
          <w:p w14:paraId="399638A9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5308707A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零启发式</w:t>
            </w:r>
          </w:p>
        </w:tc>
        <w:tc>
          <w:tcPr>
            <w:tcW w:w="0" w:type="auto"/>
          </w:tcPr>
          <w:p w14:paraId="05CFE44C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1375E146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26.828</w:t>
            </w:r>
          </w:p>
        </w:tc>
        <w:tc>
          <w:tcPr>
            <w:tcW w:w="0" w:type="auto"/>
          </w:tcPr>
          <w:p w14:paraId="2C4FED9B" w14:textId="77777777" w:rsidR="006A45EE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</w:tr>
    </w:tbl>
    <w:p w14:paraId="7238F877" w14:textId="77777777" w:rsidR="006A45EE" w:rsidRDefault="006A45EE">
      <w:pPr>
        <w:spacing w:after="200"/>
      </w:pPr>
    </w:p>
    <w:p w14:paraId="3EABA89D" w14:textId="044B8666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>4.</w:t>
      </w:r>
      <w:r w:rsidR="00B662D6">
        <w:rPr>
          <w:rFonts w:hint="eastAsia"/>
          <w:b/>
          <w:sz w:val="26"/>
          <w:szCs w:val="26"/>
        </w:rPr>
        <w:t>4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路径可视化</w:t>
      </w:r>
    </w:p>
    <w:p w14:paraId="5A7064AD" w14:textId="7A56FB2E" w:rsidR="006A45EE" w:rsidRDefault="007F0198">
      <w:pPr>
        <w:jc w:val="center"/>
        <w:rPr>
          <w:rFonts w:hint="eastAsia"/>
        </w:rPr>
      </w:pPr>
      <w:r w:rsidRPr="007F0198">
        <w:drawing>
          <wp:inline distT="0" distB="0" distL="0" distR="0" wp14:anchorId="75EEFC9C" wp14:editId="44A3D1A2">
            <wp:extent cx="5731510" cy="6082030"/>
            <wp:effectExtent l="0" t="0" r="0" b="0"/>
            <wp:docPr id="34281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24B" w14:textId="77777777" w:rsidR="006A45EE" w:rsidRDefault="00000000">
      <w:pPr>
        <w:spacing w:before="60" w:after="2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图</w:t>
      </w:r>
      <w:r>
        <w:rPr>
          <w:color w:val="555555"/>
          <w:sz w:val="20"/>
          <w:szCs w:val="20"/>
        </w:rPr>
        <w:t xml:space="preserve"> 4</w:t>
      </w:r>
      <w:r>
        <w:rPr>
          <w:color w:val="555555"/>
          <w:sz w:val="20"/>
          <w:szCs w:val="20"/>
        </w:rPr>
        <w:t xml:space="preserve">　邻域</w:t>
      </w:r>
      <w:r>
        <w:rPr>
          <w:color w:val="555555"/>
          <w:sz w:val="20"/>
          <w:szCs w:val="20"/>
        </w:rPr>
        <w:t>=4</w:t>
      </w:r>
      <w:r>
        <w:rPr>
          <w:color w:val="555555"/>
          <w:sz w:val="20"/>
          <w:szCs w:val="20"/>
        </w:rPr>
        <w:t>，曼哈顿启发式规划路径（蓝：路径，绿：</w:t>
      </w:r>
      <w:r>
        <w:rPr>
          <w:color w:val="555555"/>
          <w:sz w:val="20"/>
          <w:szCs w:val="20"/>
        </w:rPr>
        <w:t xml:space="preserve">S </w:t>
      </w:r>
      <w:r>
        <w:rPr>
          <w:color w:val="555555"/>
          <w:sz w:val="20"/>
          <w:szCs w:val="20"/>
        </w:rPr>
        <w:t>起点，红：</w:t>
      </w:r>
      <w:r>
        <w:rPr>
          <w:color w:val="555555"/>
          <w:sz w:val="20"/>
          <w:szCs w:val="20"/>
        </w:rPr>
        <w:t xml:space="preserve">G </w:t>
      </w:r>
      <w:r>
        <w:rPr>
          <w:color w:val="555555"/>
          <w:sz w:val="20"/>
          <w:szCs w:val="20"/>
        </w:rPr>
        <w:t>终点）</w:t>
      </w:r>
    </w:p>
    <w:p w14:paraId="5B8B911E" w14:textId="77777777" w:rsidR="00B662D6" w:rsidRDefault="00B662D6" w:rsidP="00B662D6">
      <w:pPr>
        <w:jc w:val="center"/>
      </w:pPr>
      <w:r w:rsidRPr="007F0198">
        <w:lastRenderedPageBreak/>
        <w:drawing>
          <wp:inline distT="0" distB="0" distL="0" distR="0" wp14:anchorId="1FFC54BF" wp14:editId="65F94E4D">
            <wp:extent cx="5667426" cy="6007100"/>
            <wp:effectExtent l="0" t="0" r="0" b="0"/>
            <wp:docPr id="131195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5893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426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189F" w14:textId="5FB2EC37" w:rsidR="00B662D6" w:rsidRDefault="00B662D6" w:rsidP="00B662D6">
      <w:pPr>
        <w:spacing w:before="60" w:after="2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图</w:t>
      </w:r>
      <w:r>
        <w:rPr>
          <w:color w:val="555555"/>
          <w:sz w:val="20"/>
          <w:szCs w:val="20"/>
        </w:rPr>
        <w:t xml:space="preserve"> 5</w:t>
      </w:r>
      <w:r>
        <w:rPr>
          <w:color w:val="555555"/>
          <w:sz w:val="20"/>
          <w:szCs w:val="20"/>
        </w:rPr>
        <w:t xml:space="preserve">　邻域</w:t>
      </w:r>
      <w:r>
        <w:rPr>
          <w:color w:val="555555"/>
          <w:sz w:val="20"/>
          <w:szCs w:val="20"/>
        </w:rPr>
        <w:t>=</w:t>
      </w:r>
      <w:r>
        <w:rPr>
          <w:rFonts w:hint="eastAsia"/>
          <w:color w:val="555555"/>
          <w:sz w:val="20"/>
          <w:szCs w:val="20"/>
        </w:rPr>
        <w:t>4</w:t>
      </w:r>
      <w:r>
        <w:rPr>
          <w:color w:val="555555"/>
          <w:sz w:val="20"/>
          <w:szCs w:val="20"/>
        </w:rPr>
        <w:t>，</w:t>
      </w:r>
      <w:r w:rsidRPr="00B662D6">
        <w:rPr>
          <w:color w:val="555555"/>
          <w:sz w:val="20"/>
          <w:szCs w:val="20"/>
        </w:rPr>
        <w:t>Euclidean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启发式规划路径</w:t>
      </w:r>
    </w:p>
    <w:p w14:paraId="4E0972F2" w14:textId="77777777" w:rsidR="00B662D6" w:rsidRPr="00B662D6" w:rsidRDefault="00B662D6">
      <w:pPr>
        <w:spacing w:before="60" w:after="200"/>
        <w:jc w:val="center"/>
        <w:rPr>
          <w:rFonts w:hint="eastAsia"/>
        </w:rPr>
      </w:pPr>
    </w:p>
    <w:p w14:paraId="553D1ADF" w14:textId="60498665" w:rsidR="006A45EE" w:rsidRDefault="007F0198">
      <w:pPr>
        <w:jc w:val="center"/>
      </w:pPr>
      <w:r w:rsidRPr="007F0198">
        <w:lastRenderedPageBreak/>
        <w:drawing>
          <wp:inline distT="0" distB="0" distL="0" distR="0" wp14:anchorId="7FB5BF82" wp14:editId="15FCF1C1">
            <wp:extent cx="5731510" cy="5873765"/>
            <wp:effectExtent l="0" t="0" r="0" b="0"/>
            <wp:docPr id="100736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2925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BC9F" w14:textId="45191066" w:rsidR="006A45EE" w:rsidRPr="00B662D6" w:rsidRDefault="00000000" w:rsidP="00B662D6">
      <w:pPr>
        <w:spacing w:before="60" w:after="200"/>
        <w:jc w:val="center"/>
        <w:rPr>
          <w:b/>
          <w:bCs/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图</w:t>
      </w:r>
      <w:r w:rsidR="00B662D6">
        <w:rPr>
          <w:rFonts w:hint="eastAsia"/>
          <w:color w:val="555555"/>
          <w:sz w:val="20"/>
          <w:szCs w:val="20"/>
        </w:rPr>
        <w:t>6</w:t>
      </w:r>
      <w:r>
        <w:rPr>
          <w:color w:val="555555"/>
          <w:sz w:val="20"/>
          <w:szCs w:val="20"/>
        </w:rPr>
        <w:t xml:space="preserve">　邻域</w:t>
      </w:r>
      <w:r>
        <w:rPr>
          <w:color w:val="555555"/>
          <w:sz w:val="20"/>
          <w:szCs w:val="20"/>
        </w:rPr>
        <w:t>=</w:t>
      </w:r>
      <w:r w:rsidR="00B662D6">
        <w:rPr>
          <w:rFonts w:hint="eastAsia"/>
          <w:color w:val="555555"/>
          <w:sz w:val="20"/>
          <w:szCs w:val="20"/>
        </w:rPr>
        <w:t>4</w:t>
      </w:r>
      <w:r>
        <w:rPr>
          <w:color w:val="555555"/>
          <w:sz w:val="20"/>
          <w:szCs w:val="20"/>
        </w:rPr>
        <w:t>，</w:t>
      </w:r>
      <w:r w:rsidR="00B662D6" w:rsidRPr="00B662D6">
        <w:rPr>
          <w:color w:val="555555"/>
          <w:sz w:val="20"/>
          <w:szCs w:val="20"/>
        </w:rPr>
        <w:t>Chebyshev</w:t>
      </w:r>
      <w:r>
        <w:rPr>
          <w:color w:val="555555"/>
          <w:sz w:val="20"/>
          <w:szCs w:val="20"/>
        </w:rPr>
        <w:t>启发式规划路径</w:t>
      </w:r>
    </w:p>
    <w:p w14:paraId="109988C6" w14:textId="3F4D025D" w:rsidR="00B662D6" w:rsidRDefault="00B662D6" w:rsidP="00B662D6">
      <w:pPr>
        <w:jc w:val="center"/>
      </w:pPr>
      <w:r w:rsidRPr="00B662D6">
        <w:lastRenderedPageBreak/>
        <w:drawing>
          <wp:inline distT="0" distB="0" distL="0" distR="0" wp14:anchorId="08607FF5" wp14:editId="3B591B4E">
            <wp:extent cx="5731510" cy="6094730"/>
            <wp:effectExtent l="0" t="0" r="0" b="0"/>
            <wp:docPr id="1809757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7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C7ED" w14:textId="51956A29" w:rsidR="00B662D6" w:rsidRDefault="00B662D6" w:rsidP="00B662D6">
      <w:pPr>
        <w:spacing w:before="60" w:after="2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图</w:t>
      </w:r>
      <w:r>
        <w:rPr>
          <w:rFonts w:hint="eastAsia"/>
          <w:color w:val="555555"/>
          <w:sz w:val="20"/>
          <w:szCs w:val="20"/>
        </w:rPr>
        <w:t>7</w:t>
      </w:r>
      <w:r>
        <w:rPr>
          <w:color w:val="555555"/>
          <w:sz w:val="20"/>
          <w:szCs w:val="20"/>
        </w:rPr>
        <w:t xml:space="preserve">　邻域</w:t>
      </w:r>
      <w:r>
        <w:rPr>
          <w:color w:val="555555"/>
          <w:sz w:val="20"/>
          <w:szCs w:val="20"/>
        </w:rPr>
        <w:t>=8</w:t>
      </w:r>
      <w:r>
        <w:rPr>
          <w:color w:val="555555"/>
          <w:sz w:val="20"/>
          <w:szCs w:val="20"/>
        </w:rPr>
        <w:t>，</w:t>
      </w:r>
      <w:r w:rsidRPr="00B662D6">
        <w:rPr>
          <w:color w:val="555555"/>
          <w:sz w:val="20"/>
          <w:szCs w:val="20"/>
        </w:rPr>
        <w:t>Euclidean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启发式规划路径</w:t>
      </w:r>
    </w:p>
    <w:p w14:paraId="465F1EF0" w14:textId="77777777" w:rsidR="00B662D6" w:rsidRDefault="00B662D6" w:rsidP="00B662D6">
      <w:pPr>
        <w:jc w:val="center"/>
      </w:pPr>
      <w:r w:rsidRPr="007F0198">
        <w:lastRenderedPageBreak/>
        <w:drawing>
          <wp:inline distT="0" distB="0" distL="0" distR="0" wp14:anchorId="149EF07F" wp14:editId="307CF80D">
            <wp:extent cx="5731510" cy="6007100"/>
            <wp:effectExtent l="0" t="0" r="0" b="0"/>
            <wp:docPr id="49357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2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A98A" w14:textId="37863043" w:rsidR="00B662D6" w:rsidRDefault="00B662D6" w:rsidP="00B662D6">
      <w:pPr>
        <w:spacing w:before="60" w:after="2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图</w:t>
      </w:r>
      <w:r>
        <w:rPr>
          <w:color w:val="555555"/>
          <w:sz w:val="20"/>
          <w:szCs w:val="20"/>
        </w:rPr>
        <w:t xml:space="preserve"> </w:t>
      </w:r>
      <w:r>
        <w:rPr>
          <w:rFonts w:hint="eastAsia"/>
          <w:color w:val="555555"/>
          <w:sz w:val="20"/>
          <w:szCs w:val="20"/>
        </w:rPr>
        <w:t>8</w:t>
      </w:r>
      <w:r>
        <w:rPr>
          <w:color w:val="555555"/>
          <w:sz w:val="20"/>
          <w:szCs w:val="20"/>
        </w:rPr>
        <w:t xml:space="preserve">　邻域</w:t>
      </w:r>
      <w:r>
        <w:rPr>
          <w:color w:val="555555"/>
          <w:sz w:val="20"/>
          <w:szCs w:val="20"/>
        </w:rPr>
        <w:t>=8</w:t>
      </w:r>
      <w:r>
        <w:rPr>
          <w:color w:val="555555"/>
          <w:sz w:val="20"/>
          <w:szCs w:val="20"/>
        </w:rPr>
        <w:t>，八向</w:t>
      </w:r>
      <w:r>
        <w:rPr>
          <w:color w:val="555555"/>
          <w:sz w:val="20"/>
          <w:szCs w:val="20"/>
        </w:rPr>
        <w:t xml:space="preserve"> Octile </w:t>
      </w:r>
      <w:r>
        <w:rPr>
          <w:color w:val="555555"/>
          <w:sz w:val="20"/>
          <w:szCs w:val="20"/>
        </w:rPr>
        <w:t>启发式规划路径</w:t>
      </w:r>
    </w:p>
    <w:p w14:paraId="72359D07" w14:textId="7C369F9B" w:rsidR="00B662D6" w:rsidRDefault="00B662D6" w:rsidP="00B662D6">
      <w:pPr>
        <w:jc w:val="center"/>
      </w:pPr>
      <w:r w:rsidRPr="00B662D6">
        <w:lastRenderedPageBreak/>
        <w:drawing>
          <wp:inline distT="0" distB="0" distL="0" distR="0" wp14:anchorId="5696059A" wp14:editId="4CA98DA0">
            <wp:extent cx="5731510" cy="6054725"/>
            <wp:effectExtent l="0" t="0" r="0" b="0"/>
            <wp:docPr id="164921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0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135A" w14:textId="07AB295E" w:rsidR="00B662D6" w:rsidRDefault="00B662D6" w:rsidP="00B662D6">
      <w:pPr>
        <w:spacing w:before="60" w:after="2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图</w:t>
      </w:r>
      <w:r>
        <w:rPr>
          <w:color w:val="555555"/>
          <w:sz w:val="20"/>
          <w:szCs w:val="20"/>
        </w:rPr>
        <w:t xml:space="preserve"> </w:t>
      </w:r>
      <w:r>
        <w:rPr>
          <w:rFonts w:hint="eastAsia"/>
          <w:color w:val="555555"/>
          <w:sz w:val="20"/>
          <w:szCs w:val="20"/>
        </w:rPr>
        <w:t>9</w:t>
      </w:r>
      <w:r>
        <w:rPr>
          <w:color w:val="555555"/>
          <w:sz w:val="20"/>
          <w:szCs w:val="20"/>
        </w:rPr>
        <w:t xml:space="preserve">　邻域</w:t>
      </w:r>
      <w:r>
        <w:rPr>
          <w:color w:val="555555"/>
          <w:sz w:val="20"/>
          <w:szCs w:val="20"/>
        </w:rPr>
        <w:t>=8</w:t>
      </w:r>
      <w:r>
        <w:rPr>
          <w:color w:val="555555"/>
          <w:sz w:val="20"/>
          <w:szCs w:val="20"/>
        </w:rPr>
        <w:t>，</w:t>
      </w:r>
      <w:r w:rsidRPr="00B662D6">
        <w:rPr>
          <w:color w:val="555555"/>
          <w:sz w:val="20"/>
          <w:szCs w:val="20"/>
        </w:rPr>
        <w:t>Chebyshev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启发式规划路径</w:t>
      </w:r>
    </w:p>
    <w:p w14:paraId="491CF0E9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4.6 </w:t>
      </w:r>
      <w:r>
        <w:rPr>
          <w:b/>
          <w:sz w:val="26"/>
          <w:szCs w:val="26"/>
        </w:rPr>
        <w:t>数据分析</w:t>
      </w:r>
    </w:p>
    <w:p w14:paraId="7652E99E" w14:textId="77777777" w:rsidR="006A45EE" w:rsidRDefault="00000000">
      <w:pPr>
        <w:spacing w:after="120" w:line="360" w:lineRule="auto"/>
      </w:pPr>
      <w:r>
        <w:t>（</w:t>
      </w:r>
      <w:r>
        <w:t>1</w:t>
      </w:r>
      <w:r>
        <w:t>）路径质量：</w:t>
      </w:r>
      <w:r>
        <w:t xml:space="preserve">4 </w:t>
      </w:r>
      <w:r>
        <w:t>邻域下所有启发式均得到</w:t>
      </w:r>
      <w:r>
        <w:t xml:space="preserve"> 29 </w:t>
      </w:r>
      <w:r>
        <w:t>个节点、总代价</w:t>
      </w:r>
      <w:r>
        <w:t xml:space="preserve"> 28.000 </w:t>
      </w:r>
      <w:r>
        <w:t>的最优路径（曼哈顿距离</w:t>
      </w:r>
      <w:r>
        <w:t xml:space="preserve"> 14+14=28</w:t>
      </w:r>
      <w:r>
        <w:t>，且因禁止切角路径必须沿正交方向走满</w:t>
      </w:r>
      <w:r>
        <w:t xml:space="preserve"> 28 </w:t>
      </w:r>
      <w:r>
        <w:t>步）；</w:t>
      </w:r>
      <w:r>
        <w:t xml:space="preserve">8 </w:t>
      </w:r>
      <w:r>
        <w:t>邻域下总代价降至</w:t>
      </w:r>
      <w:r>
        <w:t xml:space="preserve"> 26.828</w:t>
      </w:r>
      <w:r>
        <w:t>（对角移动以</w:t>
      </w:r>
      <w:r>
        <w:t xml:space="preserve"> √2 </w:t>
      </w:r>
      <w:r>
        <w:t>代价缩短路径），节点数降至</w:t>
      </w:r>
      <w:r>
        <w:t xml:space="preserve"> 27</w:t>
      </w:r>
      <w:r>
        <w:t>。这直观说明了</w:t>
      </w:r>
      <w:r>
        <w:t xml:space="preserve"> 8 </w:t>
      </w:r>
      <w:r>
        <w:t>邻域</w:t>
      </w:r>
      <w:r>
        <w:t xml:space="preserve"> + </w:t>
      </w:r>
      <w:r>
        <w:t>对角移动能获得更短（代价更小）的路径。</w:t>
      </w:r>
    </w:p>
    <w:p w14:paraId="65D93D78" w14:textId="25D5FDF5" w:rsidR="006A45EE" w:rsidRDefault="00000000">
      <w:pPr>
        <w:spacing w:after="120" w:line="360" w:lineRule="auto"/>
      </w:pPr>
      <w:r>
        <w:t>（</w:t>
      </w:r>
      <w:r>
        <w:t>2</w:t>
      </w:r>
      <w:r>
        <w:t>）启发式对搜索效率的影响：零启发式（即</w:t>
      </w:r>
      <w:r>
        <w:t xml:space="preserve"> Dijkstra</w:t>
      </w:r>
      <w:r>
        <w:t>）扩展节点最多（</w:t>
      </w:r>
      <w:r>
        <w:t xml:space="preserve">140 </w:t>
      </w:r>
      <w:r>
        <w:t>个），因为它没有任何方向引导；八向</w:t>
      </w:r>
      <w:r>
        <w:t xml:space="preserve"> Octile </w:t>
      </w:r>
      <w:r>
        <w:t>扩展节点最少，因为它是最接近真实代价的可采纳启发式。曼哈</w:t>
      </w:r>
      <w:r>
        <w:lastRenderedPageBreak/>
        <w:t>顿在</w:t>
      </w:r>
      <w:r>
        <w:t xml:space="preserve"> 4 </w:t>
      </w:r>
      <w:r>
        <w:t>邻域下扩展</w:t>
      </w:r>
      <w:r>
        <w:t xml:space="preserve"> 135 </w:t>
      </w:r>
      <w:r>
        <w:t>个，高于欧氏</w:t>
      </w:r>
      <w:r>
        <w:t>/</w:t>
      </w:r>
      <w:r>
        <w:t>切比雪夫</w:t>
      </w:r>
      <w:r>
        <w:t>/</w:t>
      </w:r>
      <w:r>
        <w:t>八向，原因是曼哈顿在</w:t>
      </w:r>
      <w:r>
        <w:t xml:space="preserve"> 4 </w:t>
      </w:r>
      <w:r>
        <w:t>邻域下是</w:t>
      </w:r>
      <w:r>
        <w:t>“</w:t>
      </w:r>
      <w:r>
        <w:t>完美</w:t>
      </w:r>
      <w:r>
        <w:t>”</w:t>
      </w:r>
      <w:r>
        <w:t>启发式，产生了大量</w:t>
      </w:r>
      <w:r>
        <w:t xml:space="preserve"> f </w:t>
      </w:r>
      <w:r>
        <w:t>值相同的平局，需要靠计数器打破平局，反而略微增加了扩展量。</w:t>
      </w:r>
    </w:p>
    <w:p w14:paraId="5A181429" w14:textId="77777777" w:rsidR="006A45EE" w:rsidRDefault="00000000">
      <w:pPr>
        <w:spacing w:after="120" w:line="360" w:lineRule="auto"/>
      </w:pPr>
      <w:r>
        <w:t>（</w:t>
      </w:r>
      <w:r>
        <w:t>3</w:t>
      </w:r>
      <w:r>
        <w:t>）可采纳性验证：所有可采纳启发式（曼哈顿、欧氏、切比雪夫、八向）在各自适用的邻域下均收敛到相同的最优代价（</w:t>
      </w:r>
      <w:r>
        <w:t xml:space="preserve">4 </w:t>
      </w:r>
      <w:r>
        <w:t>邻域</w:t>
      </w:r>
      <w:r>
        <w:t xml:space="preserve"> 28.000</w:t>
      </w:r>
      <w:r>
        <w:t>、</w:t>
      </w:r>
      <w:r>
        <w:t xml:space="preserve">8 </w:t>
      </w:r>
      <w:r>
        <w:t>邻域</w:t>
      </w:r>
      <w:r>
        <w:t xml:space="preserve"> 26.828</w:t>
      </w:r>
      <w:r>
        <w:t>），与零启发式（最优性基准）一致，验证了可采纳性</w:t>
      </w:r>
      <w:r>
        <w:t xml:space="preserve"> → </w:t>
      </w:r>
      <w:r>
        <w:t>最优性的理论结论。</w:t>
      </w:r>
    </w:p>
    <w:p w14:paraId="68CA547D" w14:textId="77777777" w:rsidR="006A45EE" w:rsidRDefault="00000000">
      <w:pPr>
        <w:spacing w:after="120" w:line="360" w:lineRule="auto"/>
      </w:pPr>
      <w:r>
        <w:t>（</w:t>
      </w:r>
      <w:r>
        <w:t>4</w:t>
      </w:r>
      <w:r>
        <w:t>）综合最优：</w:t>
      </w:r>
      <w:r>
        <w:t xml:space="preserve">8 </w:t>
      </w:r>
      <w:r>
        <w:t>邻域</w:t>
      </w:r>
      <w:r>
        <w:t xml:space="preserve"> + </w:t>
      </w:r>
      <w:r>
        <w:t>八向</w:t>
      </w:r>
      <w:r>
        <w:t xml:space="preserve"> Octile </w:t>
      </w:r>
      <w:r>
        <w:t>在本次实验中既获得最小路径代价（</w:t>
      </w:r>
      <w:r>
        <w:t>26.828</w:t>
      </w:r>
      <w:r>
        <w:t>），又使用最少扩展节点（</w:t>
      </w:r>
      <w:r>
        <w:t>105</w:t>
      </w:r>
      <w:r>
        <w:t>），是效率与解质量综合最优的配置。</w:t>
      </w:r>
    </w:p>
    <w:p w14:paraId="35183952" w14:textId="77777777" w:rsidR="006A45EE" w:rsidRDefault="00000000">
      <w:pPr>
        <w:spacing w:before="360" w:after="200"/>
        <w:outlineLvl w:val="0"/>
      </w:pPr>
      <w:r>
        <w:rPr>
          <w:b/>
          <w:sz w:val="32"/>
          <w:szCs w:val="32"/>
        </w:rPr>
        <w:t>五、算法优缺点分析</w:t>
      </w:r>
    </w:p>
    <w:p w14:paraId="7D5BC691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5.1 </w:t>
      </w:r>
      <w:r>
        <w:rPr>
          <w:b/>
          <w:sz w:val="26"/>
          <w:szCs w:val="26"/>
        </w:rPr>
        <w:t>优点</w:t>
      </w:r>
    </w:p>
    <w:p w14:paraId="44DDA954" w14:textId="77777777" w:rsidR="006A45EE" w:rsidRDefault="00000000">
      <w:pPr>
        <w:spacing w:after="120" w:line="360" w:lineRule="auto"/>
      </w:pPr>
      <w:r>
        <w:t xml:space="preserve">① </w:t>
      </w:r>
      <w:r>
        <w:t>最优性保证：当启发式满足可采纳性（及一致性）时，</w:t>
      </w:r>
      <w:r>
        <w:t xml:space="preserve">A* </w:t>
      </w:r>
      <w:r>
        <w:t>保证找到最优路径；</w:t>
      </w:r>
      <w:r>
        <w:t xml:space="preserve">② </w:t>
      </w:r>
      <w:r>
        <w:t>效率可控：相比</w:t>
      </w:r>
      <w:r>
        <w:t xml:space="preserve"> Dijkstra </w:t>
      </w:r>
      <w:r>
        <w:t>的盲目搜索，</w:t>
      </w:r>
      <w:r>
        <w:t xml:space="preserve">A* </w:t>
      </w:r>
      <w:r>
        <w:t>借助启发式大幅减少扩展节点；</w:t>
      </w:r>
      <w:r>
        <w:t xml:space="preserve">③ </w:t>
      </w:r>
      <w:r>
        <w:t>灵活可调：可通过更换启发式函数、邻域模型、权重</w:t>
      </w:r>
      <w:r>
        <w:t xml:space="preserve"> w </w:t>
      </w:r>
      <w:r>
        <w:t>适配不同场景（如</w:t>
      </w:r>
      <w:r>
        <w:t xml:space="preserve"> w&gt;1 </w:t>
      </w:r>
      <w:r>
        <w:t>的加权</w:t>
      </w:r>
      <w:r>
        <w:t xml:space="preserve"> A* </w:t>
      </w:r>
      <w:r>
        <w:t>换取更快但次优的解）；</w:t>
      </w:r>
      <w:r>
        <w:t xml:space="preserve">④ </w:t>
      </w:r>
      <w:r>
        <w:t>实现清晰、通用性强，易于扩展到三维或连续空间。</w:t>
      </w:r>
    </w:p>
    <w:p w14:paraId="06B5D0B7" w14:textId="77777777" w:rsidR="006A45EE" w:rsidRDefault="00000000">
      <w:pPr>
        <w:spacing w:before="240" w:after="120"/>
        <w:outlineLvl w:val="1"/>
      </w:pPr>
      <w:r>
        <w:rPr>
          <w:b/>
          <w:sz w:val="26"/>
          <w:szCs w:val="26"/>
        </w:rPr>
        <w:t xml:space="preserve">5.2 </w:t>
      </w:r>
      <w:r>
        <w:rPr>
          <w:b/>
          <w:sz w:val="26"/>
          <w:szCs w:val="26"/>
        </w:rPr>
        <w:t>缺点</w:t>
      </w:r>
    </w:p>
    <w:p w14:paraId="08149DC1" w14:textId="3AC484A9" w:rsidR="006A45EE" w:rsidRDefault="00000000">
      <w:pPr>
        <w:spacing w:after="120" w:line="360" w:lineRule="auto"/>
      </w:pPr>
      <w:r>
        <w:t xml:space="preserve">① </w:t>
      </w:r>
      <w:r>
        <w:t>内存开销大：需同时维护</w:t>
      </w:r>
      <w:r>
        <w:t xml:space="preserve"> open </w:t>
      </w:r>
      <w:r>
        <w:t>表与</w:t>
      </w:r>
      <w:r>
        <w:t xml:space="preserve"> closed </w:t>
      </w:r>
      <w:r>
        <w:t>表，状态空间大时内存增长快；</w:t>
      </w:r>
      <w:r>
        <w:t xml:space="preserve">② </w:t>
      </w:r>
      <w:r>
        <w:t>栅格离散化限制：路径被限制在栅格中心点与固定</w:t>
      </w:r>
      <w:r>
        <w:t xml:space="preserve"> 8 </w:t>
      </w:r>
      <w:r>
        <w:t>个方向，产生折线路径，缺少对任意角度（如</w:t>
      </w:r>
      <w:r>
        <w:t xml:space="preserve"> Theta*</w:t>
      </w:r>
      <w:r>
        <w:t>）的支持；</w:t>
      </w:r>
      <w:r>
        <w:t xml:space="preserve">③ </w:t>
      </w:r>
      <w:r>
        <w:t>启发式选择敏感：不合适的启发式（如</w:t>
      </w:r>
      <w:r>
        <w:t xml:space="preserve"> 8 </w:t>
      </w:r>
      <w:r>
        <w:t>邻域下用曼哈顿）会导致不可采纳、破坏最优性，或退化效率；</w:t>
      </w:r>
      <w:r>
        <w:t xml:space="preserve">④ </w:t>
      </w:r>
      <w:r>
        <w:t>平局处理影响效率：大量</w:t>
      </w:r>
      <w:r>
        <w:t xml:space="preserve"> f </w:t>
      </w:r>
      <w:r>
        <w:t>值相同的节点需要额外的平局策略，本</w:t>
      </w:r>
      <w:r w:rsidR="006F5FF3">
        <w:rPr>
          <w:rFonts w:hint="eastAsia"/>
        </w:rPr>
        <w:t>项目</w:t>
      </w:r>
      <w:r>
        <w:t>用入队计数器处理，但并非最优平局策略。</w:t>
      </w:r>
    </w:p>
    <w:p w14:paraId="19F49B1B" w14:textId="20221D44" w:rsidR="006A45EE" w:rsidRDefault="00000000">
      <w:pPr>
        <w:spacing w:before="360" w:after="200"/>
        <w:outlineLvl w:val="0"/>
      </w:pPr>
      <w:r>
        <w:rPr>
          <w:b/>
          <w:sz w:val="32"/>
          <w:szCs w:val="32"/>
        </w:rPr>
        <w:t>六、总结</w:t>
      </w:r>
    </w:p>
    <w:p w14:paraId="1E2F448F" w14:textId="77777777" w:rsidR="006A45EE" w:rsidRDefault="00000000">
      <w:pPr>
        <w:spacing w:after="120" w:line="360" w:lineRule="auto"/>
      </w:pPr>
      <w:r>
        <w:t>本作业实现了一个完整的</w:t>
      </w:r>
      <w:r>
        <w:t xml:space="preserve"> A* </w:t>
      </w:r>
      <w:r>
        <w:t>栅格路径规划器，覆盖地图建模、邻域与切角约束、五种启发式函数、最小堆搜索、路径重建与可视化等环节，并通过</w:t>
      </w:r>
      <w:r>
        <w:t xml:space="preserve"> 9 </w:t>
      </w:r>
      <w:r>
        <w:t>组配置的对比实验系统验证了：可采纳启发式保证最优性、启发式精度决定搜索效率、</w:t>
      </w:r>
      <w:r>
        <w:t xml:space="preserve">8 </w:t>
      </w:r>
      <w:r>
        <w:t>邻域</w:t>
      </w:r>
      <w:r>
        <w:t xml:space="preserve"> + </w:t>
      </w:r>
      <w:r>
        <w:t>对角移动可显著缩短路径代价。实验结果显示八向</w:t>
      </w:r>
      <w:r>
        <w:t xml:space="preserve"> Octile </w:t>
      </w:r>
      <w:r>
        <w:t>启发式在</w:t>
      </w:r>
      <w:r>
        <w:t xml:space="preserve"> 8 </w:t>
      </w:r>
      <w:r>
        <w:t>邻域下综合表现最优（代价</w:t>
      </w:r>
      <w:r>
        <w:t xml:space="preserve"> 26.828</w:t>
      </w:r>
      <w:r>
        <w:t>、扩展</w:t>
      </w:r>
      <w:r>
        <w:t xml:space="preserve"> 105 </w:t>
      </w:r>
      <w:r>
        <w:t>节点）。本作业加深了对</w:t>
      </w:r>
      <w:r>
        <w:t xml:space="preserve"> A* </w:t>
      </w:r>
      <w:r>
        <w:t>算法原理、启发式设计及其对路径规划性能影响的理解，为后续引入跳点搜索、任意角度路径等进阶算法奠定了基础。</w:t>
      </w:r>
    </w:p>
    <w:sectPr w:rsidR="006A45E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AB0B0" w14:textId="77777777" w:rsidR="0008309E" w:rsidRDefault="0008309E" w:rsidP="006E6925">
      <w:pPr>
        <w:spacing w:after="0" w:line="240" w:lineRule="auto"/>
      </w:pPr>
      <w:r>
        <w:separator/>
      </w:r>
    </w:p>
  </w:endnote>
  <w:endnote w:type="continuationSeparator" w:id="0">
    <w:p w14:paraId="5E4FA2C6" w14:textId="77777777" w:rsidR="0008309E" w:rsidRDefault="0008309E" w:rsidP="006E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A6D88" w14:textId="77777777" w:rsidR="0008309E" w:rsidRDefault="0008309E" w:rsidP="006E6925">
      <w:pPr>
        <w:spacing w:after="0" w:line="240" w:lineRule="auto"/>
      </w:pPr>
      <w:r>
        <w:separator/>
      </w:r>
    </w:p>
  </w:footnote>
  <w:footnote w:type="continuationSeparator" w:id="0">
    <w:p w14:paraId="7D236183" w14:textId="77777777" w:rsidR="0008309E" w:rsidRDefault="0008309E" w:rsidP="006E69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5EE"/>
    <w:rsid w:val="0008309E"/>
    <w:rsid w:val="00290D1D"/>
    <w:rsid w:val="006A45EE"/>
    <w:rsid w:val="006E6925"/>
    <w:rsid w:val="006F5FF3"/>
    <w:rsid w:val="007F0198"/>
    <w:rsid w:val="009D5B84"/>
    <w:rsid w:val="00B6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BE8E1"/>
  <w15:docId w15:val="{2A67F065-67FE-4EE6-8B7D-A0C7757A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198"/>
    <w:rPr>
      <w:rFonts w:ascii="Times New Roman" w:eastAsia="宋体" w:hAnsi="Times New Roman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2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69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6925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69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6925"/>
    <w:rPr>
      <w:rFonts w:ascii="Times New Roman" w:eastAsia="宋体" w:hAnsi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B662D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1902</Words>
  <Characters>2608</Characters>
  <Application>Microsoft Office Word</Application>
  <DocSecurity>0</DocSecurity>
  <Lines>113</Lines>
  <Paragraphs>125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yiming huang</cp:lastModifiedBy>
  <cp:revision>2</cp:revision>
  <dcterms:created xsi:type="dcterms:W3CDTF">2026-10-12T06:48:00Z</dcterms:created>
  <dcterms:modified xsi:type="dcterms:W3CDTF">2026-10-12T07:52:00Z</dcterms:modified>
</cp:coreProperties>
</file>