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84102"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公众号发布全流程规范手册</w:t>
      </w:r>
    </w:p>
    <w:p w14:paraId="7B3089AE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第一部分　执行 Checklist（完整版）</w:t>
      </w:r>
    </w:p>
    <w:p w14:paraId="7A03290F">
      <w:pPr>
        <w:spacing w:after="120"/>
      </w:pPr>
      <w:r>
        <w:rPr>
          <w:rFonts w:ascii="微软雅黑" w:hAnsi="微软雅黑" w:eastAsia="微软雅黑"/>
          <w:b w:val="0"/>
          <w:sz w:val="20"/>
        </w:rPr>
        <w:t>以下清单可直接共享给团队执行。执行岗逐条打钩，全部完成后提交复核；复核岗二次核查；终审岗抽查确认后发布。</w:t>
      </w:r>
    </w:p>
    <w:p w14:paraId="1B6AE0D1">
      <w:pPr>
        <w:ind w:left="283"/>
        <w:rPr>
          <w:color w:val="FF0000"/>
        </w:rPr>
      </w:pPr>
      <w:r>
        <w:rPr>
          <w:rFonts w:ascii="微软雅黑" w:hAnsi="微软雅黑" w:eastAsia="微软雅黑"/>
          <w:b/>
          <w:color w:val="FF0000"/>
          <w:sz w:val="21"/>
        </w:rPr>
        <w:t>重要：以下所有检查项，均需在手机端预览中完成核对。</w:t>
      </w:r>
    </w:p>
    <w:p w14:paraId="03061FF2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一、封面图检查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7087"/>
        <w:gridCol w:w="850"/>
      </w:tblGrid>
      <w:tr w14:paraId="2923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1F4E79"/>
          </w:tcPr>
          <w:p w14:paraId="149CA8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7087" w:type="dxa"/>
            <w:shd w:val="clear" w:color="auto" w:fill="1F4E79"/>
          </w:tcPr>
          <w:p w14:paraId="42AC02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850" w:type="dxa"/>
            <w:shd w:val="clear" w:color="auto" w:fill="1F4E79"/>
          </w:tcPr>
          <w:p w14:paraId="783236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6FBF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9DCEE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w="7087" w:type="dxa"/>
          </w:tcPr>
          <w:p w14:paraId="09FDEC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封面图由 AI 生图生成，生成时明确告知「公众号封面」，比例由 AI 自动适配</w:t>
            </w:r>
          </w:p>
        </w:tc>
        <w:tc>
          <w:tcPr>
            <w:tcW w:w="850" w:type="dxa"/>
          </w:tcPr>
          <w:p w14:paraId="52FFF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2F53D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F38F6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w="7087" w:type="dxa"/>
          </w:tcPr>
          <w:p w14:paraId="16471A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封面无水印、无版权风险、不拼接杂乱网图</w:t>
            </w:r>
          </w:p>
        </w:tc>
        <w:tc>
          <w:tcPr>
            <w:tcW w:w="850" w:type="dxa"/>
          </w:tcPr>
          <w:p w14:paraId="7CD7DC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56173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2EA48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3</w:t>
            </w:r>
          </w:p>
        </w:tc>
        <w:tc>
          <w:tcPr>
            <w:tcW w:w="7087" w:type="dxa"/>
          </w:tcPr>
          <w:p w14:paraId="458427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封面标题文字显示完全、不被裁切，与文章标题一致，无错字、漏字</w:t>
            </w:r>
          </w:p>
        </w:tc>
        <w:tc>
          <w:tcPr>
            <w:tcW w:w="850" w:type="dxa"/>
          </w:tcPr>
          <w:p w14:paraId="0FB124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</w:tbl>
    <w:p w14:paraId="0436E830">
      <w:pPr>
        <w:spacing w:after="120"/>
        <w:rPr>
          <w:highlight w:val="yellow"/>
        </w:rPr>
      </w:pPr>
      <w:r>
        <w:rPr>
          <w:rFonts w:ascii="微软雅黑" w:hAnsi="微软雅黑" w:eastAsia="微软雅黑"/>
          <w:b w:val="0"/>
          <w:color w:val="808080"/>
          <w:sz w:val="19"/>
          <w:highlight w:val="yellow"/>
        </w:rPr>
        <w:t>补充说明：封面尺寸由 AI 生成时自动处理，无需人工核对像素；重点核对「水印是否去除」与「标题是否显示完全」，以上均在手机端预览确认。</w:t>
      </w:r>
    </w:p>
    <w:p w14:paraId="34AF3254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二、标题校验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7087"/>
        <w:gridCol w:w="850"/>
      </w:tblGrid>
      <w:tr w14:paraId="3CFD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1F4E79"/>
          </w:tcPr>
          <w:p w14:paraId="682F97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7087" w:type="dxa"/>
            <w:shd w:val="clear" w:color="auto" w:fill="1F4E79"/>
          </w:tcPr>
          <w:p w14:paraId="0CC0C0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850" w:type="dxa"/>
            <w:shd w:val="clear" w:color="auto" w:fill="1F4E79"/>
          </w:tcPr>
          <w:p w14:paraId="4646D3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32694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5E353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w="7087" w:type="dxa"/>
          </w:tcPr>
          <w:p w14:paraId="31D90B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标题与文稿标题一致（或与确认版一致），无错字</w:t>
            </w:r>
          </w:p>
        </w:tc>
        <w:tc>
          <w:tcPr>
            <w:tcW w:w="850" w:type="dxa"/>
          </w:tcPr>
          <w:p w14:paraId="7C1FD6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0D8E3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07911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w="7087" w:type="dxa"/>
          </w:tcPr>
          <w:p w14:paraId="2D0EE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品牌名不能有误（如 AiPY，含其它所有品牌名，均须逐一核对拼写）</w:t>
            </w:r>
          </w:p>
        </w:tc>
        <w:tc>
          <w:tcPr>
            <w:tcW w:w="850" w:type="dxa"/>
          </w:tcPr>
          <w:p w14:paraId="590D12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6D8F8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BB8D5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3</w:t>
            </w:r>
          </w:p>
        </w:tc>
        <w:tc>
          <w:tcPr>
            <w:tcW w:w="7087" w:type="dxa"/>
          </w:tcPr>
          <w:p w14:paraId="133BC7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标题标点符号正确，末尾不加句号</w:t>
            </w:r>
          </w:p>
        </w:tc>
        <w:tc>
          <w:tcPr>
            <w:tcW w:w="850" w:type="dxa"/>
          </w:tcPr>
          <w:p w14:paraId="2482BE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1A7C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817E3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4</w:t>
            </w:r>
          </w:p>
        </w:tc>
        <w:tc>
          <w:tcPr>
            <w:tcW w:w="7087" w:type="dxa"/>
          </w:tcPr>
          <w:p w14:paraId="1AD6E8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标题不宜过长，手机端单行完整显示不折行</w:t>
            </w:r>
          </w:p>
        </w:tc>
        <w:tc>
          <w:tcPr>
            <w:tcW w:w="850" w:type="dxa"/>
          </w:tcPr>
          <w:p w14:paraId="0FD7B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3C78B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AF649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5</w:t>
            </w:r>
          </w:p>
        </w:tc>
        <w:tc>
          <w:tcPr>
            <w:tcW w:w="7087" w:type="dxa"/>
          </w:tcPr>
          <w:p w14:paraId="6C43E0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转载文章注意「编者荐语」有字数限制，不能超过 120 字，超过无法保持与预览一致</w:t>
            </w:r>
          </w:p>
        </w:tc>
        <w:tc>
          <w:tcPr>
            <w:tcW w:w="850" w:type="dxa"/>
          </w:tcPr>
          <w:p w14:paraId="40C134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</w:tbl>
    <w:p w14:paraId="7DA05763">
      <w:pPr>
        <w:spacing w:after="120"/>
        <w:rPr>
          <w:highlight w:val="yellow"/>
        </w:rPr>
      </w:pPr>
      <w:r>
        <w:rPr>
          <w:rFonts w:ascii="微软雅黑" w:hAnsi="微软雅黑" w:eastAsia="微软雅黑"/>
          <w:b w:val="0"/>
          <w:color w:val="808080"/>
          <w:sz w:val="19"/>
          <w:highlight w:val="yellow"/>
        </w:rPr>
        <w:t>补充说明：标题无需过度设计，核心就四点——和文稿/确认版一致、品牌名无错、标点正确、别太长。</w:t>
      </w:r>
    </w:p>
    <w:p w14:paraId="5C131230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三、正文排版规范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7087"/>
        <w:gridCol w:w="850"/>
      </w:tblGrid>
      <w:tr w14:paraId="303AB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1F4E79"/>
          </w:tcPr>
          <w:p w14:paraId="0AF8D2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7087" w:type="dxa"/>
            <w:shd w:val="clear" w:color="auto" w:fill="1F4E79"/>
          </w:tcPr>
          <w:p w14:paraId="096561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850" w:type="dxa"/>
            <w:shd w:val="clear" w:color="auto" w:fill="1F4E79"/>
          </w:tcPr>
          <w:p w14:paraId="00B56B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29EAC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8CC94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w="7087" w:type="dxa"/>
          </w:tcPr>
          <w:p w14:paraId="6B2041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正文字体统一（微软雅黑），标题可加粗放大</w:t>
            </w:r>
          </w:p>
        </w:tc>
        <w:tc>
          <w:tcPr>
            <w:tcW w:w="850" w:type="dxa"/>
          </w:tcPr>
          <w:p w14:paraId="6D80DD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31B85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AE198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w="7087" w:type="dxa"/>
          </w:tcPr>
          <w:p w14:paraId="1936EC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全文颜色统一，正文深灰，强调色用品牌主色，全文不超 3 种颜色</w:t>
            </w:r>
          </w:p>
        </w:tc>
        <w:tc>
          <w:tcPr>
            <w:tcW w:w="850" w:type="dxa"/>
          </w:tcPr>
          <w:p w14:paraId="4B862D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3738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309EC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3</w:t>
            </w:r>
          </w:p>
        </w:tc>
        <w:tc>
          <w:tcPr>
            <w:tcW w:w="7087" w:type="dxa"/>
          </w:tcPr>
          <w:p w14:paraId="1664C4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图片 100% 适配、居中对齐，配图说明居中</w:t>
            </w:r>
          </w:p>
        </w:tc>
        <w:tc>
          <w:tcPr>
            <w:tcW w:w="850" w:type="dxa"/>
          </w:tcPr>
          <w:p w14:paraId="1928B2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3DE8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6CD53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4</w:t>
            </w:r>
          </w:p>
        </w:tc>
        <w:tc>
          <w:tcPr>
            <w:tcW w:w="7087" w:type="dxa"/>
          </w:tcPr>
          <w:p w14:paraId="245524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排版后检查段落空行是否合理（AI 生成排版主要看空行数），发现异常（如段落间距不一、文字折行错乱、图片溢出/变形）直接在编辑器调整</w:t>
            </w:r>
          </w:p>
        </w:tc>
        <w:tc>
          <w:tcPr>
            <w:tcW w:w="850" w:type="dxa"/>
          </w:tcPr>
          <w:p w14:paraId="223659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6157F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78517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5</w:t>
            </w:r>
          </w:p>
        </w:tc>
        <w:tc>
          <w:tcPr>
            <w:tcW w:w="7087" w:type="dxa"/>
          </w:tcPr>
          <w:p w14:paraId="0E0F37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分割线样式固定，文末品牌栏/引导语模板统一</w:t>
            </w:r>
          </w:p>
        </w:tc>
        <w:tc>
          <w:tcPr>
            <w:tcW w:w="850" w:type="dxa"/>
          </w:tcPr>
          <w:p w14:paraId="0F30A8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5CAD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112D5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6</w:t>
            </w:r>
          </w:p>
        </w:tc>
        <w:tc>
          <w:tcPr>
            <w:tcW w:w="7087" w:type="dxa"/>
          </w:tcPr>
          <w:p w14:paraId="6DC665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必须用手机端预览全文，确认无换行错乱、图片溢出</w:t>
            </w:r>
          </w:p>
        </w:tc>
        <w:tc>
          <w:tcPr>
            <w:tcW w:w="850" w:type="dxa"/>
          </w:tcPr>
          <w:p w14:paraId="1E3407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</w:tbl>
    <w:p w14:paraId="3B76AB3C">
      <w:pPr>
        <w:spacing w:after="120"/>
        <w:rPr>
          <w:highlight w:val="yellow"/>
        </w:rPr>
      </w:pPr>
      <w:r>
        <w:rPr>
          <w:rFonts w:ascii="微软雅黑" w:hAnsi="微软雅黑" w:eastAsia="微软雅黑"/>
          <w:b w:val="0"/>
          <w:color w:val="808080"/>
          <w:sz w:val="19"/>
          <w:highlight w:val="yellow"/>
        </w:rPr>
        <w:t>提醒：正文排版基本由 AI 完成，人工主要靠「手机端预览 + 看空行是否整齐」来判断，发现异常直接在编辑器调整即可。</w:t>
      </w:r>
    </w:p>
    <w:p w14:paraId="29E97814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四、标点符号规范（⚠️ 历史高频出错项）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7087"/>
        <w:gridCol w:w="850"/>
      </w:tblGrid>
      <w:tr w14:paraId="60D87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1F4E79"/>
          </w:tcPr>
          <w:p w14:paraId="6D023B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7087" w:type="dxa"/>
            <w:shd w:val="clear" w:color="auto" w:fill="1F4E79"/>
          </w:tcPr>
          <w:p w14:paraId="186799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850" w:type="dxa"/>
            <w:shd w:val="clear" w:color="auto" w:fill="1F4E79"/>
          </w:tcPr>
          <w:p w14:paraId="7C7760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78916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2E4A5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w="7087" w:type="dxa"/>
          </w:tcPr>
          <w:p w14:paraId="3C2843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中文语境全部使用全角标点（，。？！：；”“‘’（））</w:t>
            </w:r>
          </w:p>
        </w:tc>
        <w:tc>
          <w:tcPr>
            <w:tcW w:w="850" w:type="dxa"/>
          </w:tcPr>
          <w:p w14:paraId="7A1325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2D56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1C871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w="7087" w:type="dxa"/>
          </w:tcPr>
          <w:p w14:paraId="7F3CE0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数字、英文单词使用半角，前后与中文之间空一格（如「AiPY 产品」「2026 年」）</w:t>
            </w:r>
          </w:p>
        </w:tc>
        <w:tc>
          <w:tcPr>
            <w:tcW w:w="850" w:type="dxa"/>
          </w:tcPr>
          <w:p w14:paraId="21A2ED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41807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243C8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3</w:t>
            </w:r>
          </w:p>
        </w:tc>
        <w:tc>
          <w:tcPr>
            <w:tcW w:w="7087" w:type="dxa"/>
          </w:tcPr>
          <w:p w14:paraId="6F218B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标题末尾不加句号、感叹号（疑问句式除外且尽量少用）</w:t>
            </w:r>
          </w:p>
        </w:tc>
        <w:tc>
          <w:tcPr>
            <w:tcW w:w="850" w:type="dxa"/>
          </w:tcPr>
          <w:p w14:paraId="5EA50C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4621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61396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4</w:t>
            </w:r>
          </w:p>
        </w:tc>
        <w:tc>
          <w:tcPr>
            <w:tcW w:w="7087" w:type="dxa"/>
          </w:tcPr>
          <w:p w14:paraId="7456CE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禁止重复标点（如！！、？？、……连续）、句末多空格、中英文标点混用</w:t>
            </w:r>
          </w:p>
        </w:tc>
        <w:tc>
          <w:tcPr>
            <w:tcW w:w="850" w:type="dxa"/>
          </w:tcPr>
          <w:p w14:paraId="78826B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27938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F71BB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5</w:t>
            </w:r>
          </w:p>
        </w:tc>
        <w:tc>
          <w:tcPr>
            <w:tcW w:w="7087" w:type="dxa"/>
          </w:tcPr>
          <w:p w14:paraId="3B3489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书名号《》用于书籍/报告/活动名，产品名/功能名不用书名号</w:t>
            </w:r>
          </w:p>
        </w:tc>
        <w:tc>
          <w:tcPr>
            <w:tcW w:w="850" w:type="dxa"/>
          </w:tcPr>
          <w:p w14:paraId="7B5A5E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0B5F2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09449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6</w:t>
            </w:r>
          </w:p>
        </w:tc>
        <w:tc>
          <w:tcPr>
            <w:tcW w:w="7087" w:type="dxa"/>
          </w:tcPr>
          <w:p w14:paraId="7155C2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引号必须用中文弯引号「」或“ ”，禁用直引号 " 或 '</w:t>
            </w:r>
          </w:p>
        </w:tc>
        <w:tc>
          <w:tcPr>
            <w:tcW w:w="850" w:type="dxa"/>
          </w:tcPr>
          <w:p w14:paraId="021F6B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3688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73898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7</w:t>
            </w:r>
          </w:p>
        </w:tc>
        <w:tc>
          <w:tcPr>
            <w:tcW w:w="7087" w:type="dxa"/>
          </w:tcPr>
          <w:p w14:paraId="43F5DD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品牌名规范书写：AiPY（全大写），其它品牌名同样须严格按官方写法，不确定时查品牌手册或历史推文</w:t>
            </w:r>
          </w:p>
        </w:tc>
        <w:tc>
          <w:tcPr>
            <w:tcW w:w="850" w:type="dxa"/>
          </w:tcPr>
          <w:p w14:paraId="7F0BCA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</w:tbl>
    <w:p w14:paraId="64D1AD06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五、发布操作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7087"/>
        <w:gridCol w:w="850"/>
      </w:tblGrid>
      <w:tr w14:paraId="2FBE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1F4E79"/>
          </w:tcPr>
          <w:p w14:paraId="150355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7087" w:type="dxa"/>
            <w:shd w:val="clear" w:color="auto" w:fill="1F4E79"/>
          </w:tcPr>
          <w:p w14:paraId="5FC582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850" w:type="dxa"/>
            <w:shd w:val="clear" w:color="auto" w:fill="1F4E79"/>
          </w:tcPr>
          <w:p w14:paraId="53219B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61EA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52768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w="7087" w:type="dxa"/>
          </w:tcPr>
          <w:p w14:paraId="5F6379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点击发布后，必须等待「发表成功」界面跳转出现，确认成功后，方可离开发布界面</w:t>
            </w:r>
          </w:p>
        </w:tc>
        <w:tc>
          <w:tcPr>
            <w:tcW w:w="850" w:type="dxa"/>
          </w:tcPr>
          <w:p w14:paraId="579032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  <w:tr w14:paraId="3AEC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FC9CD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w="7087" w:type="dxa"/>
          </w:tcPr>
          <w:p w14:paraId="1FB8D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作者栏无需填写，发布时默认使用公司账号。</w:t>
            </w:r>
          </w:p>
        </w:tc>
        <w:tc>
          <w:tcPr>
            <w:tcW w:w="850" w:type="dxa"/>
          </w:tcPr>
          <w:p w14:paraId="6250069B">
            <w:pPr>
              <w:spacing w:after="0" w:line="240" w:lineRule="auto"/>
            </w:pPr>
          </w:p>
        </w:tc>
      </w:tr>
      <w:tr w14:paraId="58A4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4F35D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3</w:t>
            </w:r>
          </w:p>
        </w:tc>
        <w:tc>
          <w:tcPr>
            <w:tcW w:w="7087" w:type="dxa"/>
          </w:tcPr>
          <w:p w14:paraId="61E5F0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定时发布时间准确，核对到分钟</w:t>
            </w:r>
          </w:p>
        </w:tc>
        <w:tc>
          <w:tcPr>
            <w:tcW w:w="850" w:type="dxa"/>
          </w:tcPr>
          <w:p w14:paraId="350C53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☐</w:t>
            </w:r>
          </w:p>
        </w:tc>
      </w:tr>
    </w:tbl>
    <w:p w14:paraId="66213DA7">
      <w:pPr>
        <w:rPr>
          <w:rFonts w:ascii="微软雅黑" w:hAnsi="微软雅黑" w:eastAsia="微软雅黑"/>
          <w:b/>
          <w:color w:val="1F4E79"/>
          <w:sz w:val="32"/>
        </w:rPr>
      </w:pPr>
    </w:p>
    <w:p w14:paraId="65181236">
      <w:bookmarkStart w:id="0" w:name="_GoBack"/>
      <w:bookmarkEnd w:id="0"/>
      <w:r>
        <w:rPr>
          <w:rFonts w:ascii="微软雅黑" w:hAnsi="微软雅黑" w:eastAsia="微软雅黑"/>
          <w:b/>
          <w:color w:val="1F4E79"/>
          <w:sz w:val="32"/>
        </w:rPr>
        <w:t>第二部分　角色与流程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0291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619D42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6236" w:type="dxa"/>
            <w:shd w:val="clear" w:color="auto" w:fill="1F4E79"/>
          </w:tcPr>
          <w:p w14:paraId="2F4EBC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4BEB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E316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执行岗（实习生/运营）</w:t>
            </w:r>
          </w:p>
        </w:tc>
        <w:tc>
          <w:tcPr>
            <w:tcW w:w="6236" w:type="dxa"/>
          </w:tcPr>
          <w:p w14:paraId="0CBA10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逐条对照 Checklist 打 √，全部完成后提交复核</w:t>
            </w:r>
          </w:p>
        </w:tc>
      </w:tr>
      <w:tr w14:paraId="5641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624F1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复核岗（全职）</w:t>
            </w:r>
          </w:p>
        </w:tc>
        <w:tc>
          <w:tcPr>
            <w:tcW w:w="6236" w:type="dxa"/>
          </w:tcPr>
          <w:p w14:paraId="4529FC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按清单二次核查，重点校验：品牌词、标点符号、封面、标题；确认无误提交终审</w:t>
            </w:r>
          </w:p>
        </w:tc>
      </w:tr>
      <w:tr w14:paraId="5FEB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6EAC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终审岗（你/主编）</w:t>
            </w:r>
          </w:p>
        </w:tc>
        <w:tc>
          <w:tcPr>
            <w:tcW w:w="6236" w:type="dxa"/>
          </w:tcPr>
          <w:p w14:paraId="0291E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抽查：封面、标题、品牌规范、敏感内容；确认后发布</w:t>
            </w:r>
          </w:p>
        </w:tc>
      </w:tr>
    </w:tbl>
    <w:p w14:paraId="5D6A3492">
      <w:pPr>
        <w:rPr>
          <w:rFonts w:ascii="微软雅黑" w:hAnsi="微软雅黑" w:eastAsia="微软雅黑"/>
          <w:b/>
          <w:color w:val="1F4E79"/>
          <w:sz w:val="32"/>
        </w:rPr>
      </w:pPr>
    </w:p>
    <w:p w14:paraId="5798D973">
      <w:r>
        <w:rPr>
          <w:rFonts w:ascii="微软雅黑" w:hAnsi="微软雅黑" w:eastAsia="微软雅黑"/>
          <w:b/>
          <w:color w:val="1F4E79"/>
          <w:sz w:val="32"/>
        </w:rPr>
        <w:t>第三部分　公众号发布规则</w:t>
      </w:r>
    </w:p>
    <w:p w14:paraId="113450E2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3.1 发布时间（区分工作日 / 休息日，覆盖早中晚）</w:t>
      </w:r>
    </w:p>
    <w:p w14:paraId="73325E09">
      <w:pPr>
        <w:spacing w:after="120"/>
      </w:pPr>
      <w:r>
        <w:rPr>
          <w:rFonts w:ascii="微软雅黑" w:hAnsi="微软雅黑" w:eastAsia="微软雅黑"/>
          <w:b w:val="0"/>
          <w:sz w:val="20"/>
        </w:rPr>
        <w:t>常规推文建议时段（可按内容类型选择早 / 中 / 晚）：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20"/>
        <w:gridCol w:w="1814"/>
        <w:gridCol w:w="3969"/>
      </w:tblGrid>
      <w:tr w14:paraId="7F62F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62D9C1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日期类型</w:t>
            </w:r>
          </w:p>
        </w:tc>
        <w:tc>
          <w:tcPr>
            <w:tcW w:w="1020" w:type="dxa"/>
            <w:shd w:val="clear" w:color="auto" w:fill="1F4E79"/>
          </w:tcPr>
          <w:p w14:paraId="0482AD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w="1814" w:type="dxa"/>
            <w:shd w:val="clear" w:color="auto" w:fill="1F4E79"/>
          </w:tcPr>
          <w:p w14:paraId="305D40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参考时间</w:t>
            </w:r>
          </w:p>
        </w:tc>
        <w:tc>
          <w:tcPr>
            <w:tcW w:w="3969" w:type="dxa"/>
            <w:shd w:val="clear" w:color="auto" w:fill="1F4E79"/>
          </w:tcPr>
          <w:p w14:paraId="6C4989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D46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82AE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工作日</w:t>
            </w:r>
          </w:p>
        </w:tc>
        <w:tc>
          <w:tcPr>
            <w:tcW w:w="1020" w:type="dxa"/>
          </w:tcPr>
          <w:p w14:paraId="18104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早</w:t>
            </w:r>
          </w:p>
        </w:tc>
        <w:tc>
          <w:tcPr>
            <w:tcW w:w="1814" w:type="dxa"/>
          </w:tcPr>
          <w:p w14:paraId="46090B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08:00-09:00</w:t>
            </w:r>
          </w:p>
        </w:tc>
        <w:tc>
          <w:tcPr>
            <w:tcW w:w="3969" w:type="dxa"/>
          </w:tcPr>
          <w:p w14:paraId="72AC95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上班通勤 / 晨间阅读时段</w:t>
            </w:r>
          </w:p>
        </w:tc>
      </w:tr>
      <w:tr w14:paraId="6D8DB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3E59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工作日</w:t>
            </w:r>
          </w:p>
        </w:tc>
        <w:tc>
          <w:tcPr>
            <w:tcW w:w="1020" w:type="dxa"/>
          </w:tcPr>
          <w:p w14:paraId="197AF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午</w:t>
            </w:r>
          </w:p>
        </w:tc>
        <w:tc>
          <w:tcPr>
            <w:tcW w:w="1814" w:type="dxa"/>
          </w:tcPr>
          <w:p w14:paraId="07E7B2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12:00-13:00</w:t>
            </w:r>
          </w:p>
        </w:tc>
        <w:tc>
          <w:tcPr>
            <w:tcW w:w="3969" w:type="dxa"/>
          </w:tcPr>
          <w:p w14:paraId="30F094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午休碎片阅读时段</w:t>
            </w:r>
          </w:p>
        </w:tc>
      </w:tr>
      <w:tr w14:paraId="77C4C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AC0E4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工作日</w:t>
            </w:r>
          </w:p>
        </w:tc>
        <w:tc>
          <w:tcPr>
            <w:tcW w:w="1020" w:type="dxa"/>
          </w:tcPr>
          <w:p w14:paraId="71564F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晚</w:t>
            </w:r>
          </w:p>
        </w:tc>
        <w:tc>
          <w:tcPr>
            <w:tcW w:w="1814" w:type="dxa"/>
          </w:tcPr>
          <w:p w14:paraId="377F98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18:00-19:00</w:t>
            </w:r>
          </w:p>
        </w:tc>
        <w:tc>
          <w:tcPr>
            <w:tcW w:w="3969" w:type="dxa"/>
          </w:tcPr>
          <w:p w14:paraId="7BBC6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下班通勤 / 晚间阅读高峰（推荐）</w:t>
            </w:r>
          </w:p>
        </w:tc>
      </w:tr>
      <w:tr w14:paraId="3B96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15C15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休息日（周末）</w:t>
            </w:r>
          </w:p>
        </w:tc>
        <w:tc>
          <w:tcPr>
            <w:tcW w:w="1020" w:type="dxa"/>
          </w:tcPr>
          <w:p w14:paraId="619407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早</w:t>
            </w:r>
          </w:p>
        </w:tc>
        <w:tc>
          <w:tcPr>
            <w:tcW w:w="1814" w:type="dxa"/>
          </w:tcPr>
          <w:p w14:paraId="5B2212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09:00-10:00</w:t>
            </w:r>
          </w:p>
        </w:tc>
        <w:tc>
          <w:tcPr>
            <w:tcW w:w="3969" w:type="dxa"/>
          </w:tcPr>
          <w:p w14:paraId="4DB184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起床后休闲阅读时段</w:t>
            </w:r>
          </w:p>
        </w:tc>
      </w:tr>
      <w:tr w14:paraId="40DF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C6CA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休息日（周末）</w:t>
            </w:r>
          </w:p>
        </w:tc>
        <w:tc>
          <w:tcPr>
            <w:tcW w:w="1020" w:type="dxa"/>
          </w:tcPr>
          <w:p w14:paraId="75AF31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午</w:t>
            </w:r>
          </w:p>
        </w:tc>
        <w:tc>
          <w:tcPr>
            <w:tcW w:w="1814" w:type="dxa"/>
          </w:tcPr>
          <w:p w14:paraId="4BA5D9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12:00-13:00</w:t>
            </w:r>
          </w:p>
        </w:tc>
        <w:tc>
          <w:tcPr>
            <w:tcW w:w="3969" w:type="dxa"/>
          </w:tcPr>
          <w:p w14:paraId="50BEBF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午休时段</w:t>
            </w:r>
          </w:p>
        </w:tc>
      </w:tr>
      <w:tr w14:paraId="0FCB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E7D3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休息日（周末）</w:t>
            </w:r>
          </w:p>
        </w:tc>
        <w:tc>
          <w:tcPr>
            <w:tcW w:w="1020" w:type="dxa"/>
          </w:tcPr>
          <w:p w14:paraId="1CA328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晚</w:t>
            </w:r>
          </w:p>
        </w:tc>
        <w:tc>
          <w:tcPr>
            <w:tcW w:w="1814" w:type="dxa"/>
          </w:tcPr>
          <w:p w14:paraId="0939E0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19:00-20:00</w:t>
            </w:r>
          </w:p>
        </w:tc>
        <w:tc>
          <w:tcPr>
            <w:tcW w:w="3969" w:type="dxa"/>
          </w:tcPr>
          <w:p w14:paraId="3860AA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晚间休闲高峰（推荐）</w:t>
            </w:r>
          </w:p>
        </w:tc>
      </w:tr>
    </w:tbl>
    <w:p w14:paraId="1BD6AC5E">
      <w:pPr>
        <w:spacing w:after="120"/>
      </w:pPr>
      <w:r>
        <w:rPr>
          <w:rFonts w:ascii="微软雅黑" w:hAnsi="微软雅黑" w:eastAsia="微软雅黑"/>
          <w:b/>
          <w:sz w:val="20"/>
        </w:rPr>
        <w:t>重大发布 / 活动：在发布前一天完成发布（定时），具体时间参考上表对应时段。</w:t>
      </w:r>
    </w:p>
    <w:p w14:paraId="315E891E">
      <w:pPr>
        <w:spacing w:after="120"/>
      </w:pPr>
      <w:r>
        <w:rPr>
          <w:rFonts w:ascii="微软雅黑" w:hAnsi="微软雅黑" w:eastAsia="微软雅黑"/>
          <w:b w:val="0"/>
          <w:sz w:val="20"/>
        </w:rPr>
        <w:t>紧急 / 热点：随时发布，需提前报备领导。</w:t>
      </w:r>
    </w:p>
    <w:p w14:paraId="1976FE7E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3.2 发布频率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764A2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</w:tcPr>
          <w:p w14:paraId="4D05C4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6520" w:type="dxa"/>
            <w:shd w:val="clear" w:color="auto" w:fill="1F4E79"/>
          </w:tcPr>
          <w:p w14:paraId="693B71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2337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4E718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常规更新</w:t>
            </w:r>
          </w:p>
        </w:tc>
        <w:tc>
          <w:tcPr>
            <w:tcW w:w="6520" w:type="dxa"/>
          </w:tcPr>
          <w:p w14:paraId="3C495C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每周固定 2-3 篇（建议二、四或一、三、五）</w:t>
            </w:r>
          </w:p>
        </w:tc>
      </w:tr>
      <w:tr w14:paraId="72BF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8363D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断更处理</w:t>
            </w:r>
          </w:p>
        </w:tc>
        <w:tc>
          <w:tcPr>
            <w:tcW w:w="6520" w:type="dxa"/>
          </w:tcPr>
          <w:p w14:paraId="4FDE20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如有特殊情况需断更，提前 1 天告知用户</w:t>
            </w:r>
          </w:p>
        </w:tc>
      </w:tr>
      <w:tr w14:paraId="629E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AABD0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周末推文</w:t>
            </w:r>
          </w:p>
        </w:tc>
        <w:tc>
          <w:tcPr>
            <w:tcW w:w="6520" w:type="dxa"/>
          </w:tcPr>
          <w:p w14:paraId="2A8C7C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如需在周末发布，须在周五完成所有检查与修改，并设置定时发表</w:t>
            </w:r>
          </w:p>
        </w:tc>
      </w:tr>
    </w:tbl>
    <w:p w14:paraId="04680E07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3.3 检查节奏（最终版）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3969"/>
      </w:tblGrid>
      <w:tr w14:paraId="0521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69AB6A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发布类型</w:t>
            </w:r>
          </w:p>
        </w:tc>
        <w:tc>
          <w:tcPr>
            <w:tcW w:w="2268" w:type="dxa"/>
            <w:shd w:val="clear" w:color="auto" w:fill="1F4E79"/>
          </w:tcPr>
          <w:p w14:paraId="51AC38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检查时间点</w:t>
            </w:r>
          </w:p>
        </w:tc>
        <w:tc>
          <w:tcPr>
            <w:tcW w:w="3969" w:type="dxa"/>
            <w:shd w:val="clear" w:color="auto" w:fill="1F4E79"/>
          </w:tcPr>
          <w:p w14:paraId="706BC2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BA9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201A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重大发布 / 活动</w:t>
            </w:r>
          </w:p>
        </w:tc>
        <w:tc>
          <w:tcPr>
            <w:tcW w:w="2268" w:type="dxa"/>
          </w:tcPr>
          <w:p w14:paraId="62D5BB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发布前一天</w:t>
            </w:r>
          </w:p>
        </w:tc>
        <w:tc>
          <w:tcPr>
            <w:tcW w:w="3969" w:type="dxa"/>
          </w:tcPr>
          <w:p w14:paraId="304256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提前一天完成全部检查、修改与定时发布</w:t>
            </w:r>
          </w:p>
        </w:tc>
      </w:tr>
      <w:tr w14:paraId="0B7D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3764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常规推文</w:t>
            </w:r>
          </w:p>
        </w:tc>
        <w:tc>
          <w:tcPr>
            <w:tcW w:w="2268" w:type="dxa"/>
          </w:tcPr>
          <w:p w14:paraId="5D0ABF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发布前 15-20 分钟</w:t>
            </w:r>
          </w:p>
        </w:tc>
        <w:tc>
          <w:tcPr>
            <w:tcW w:w="3969" w:type="dxa"/>
          </w:tcPr>
          <w:p w14:paraId="0494EE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发布前 15-20 分钟完成最终检查，确认无误后发布</w:t>
            </w:r>
          </w:p>
        </w:tc>
      </w:tr>
    </w:tbl>
    <w:p w14:paraId="4F8DD4ED">
      <w:pPr>
        <w:spacing w:after="120"/>
      </w:pPr>
      <w:r>
        <w:rPr>
          <w:rFonts w:ascii="微软雅黑" w:hAnsi="微软雅黑" w:eastAsia="微软雅黑"/>
          <w:b w:val="0"/>
          <w:color w:val="808080"/>
          <w:sz w:val="19"/>
        </w:rPr>
        <w:t>说明：所有检查项均在手机端预览完成；常规推文临近发布前 15-20 分钟做最终核对即可。</w:t>
      </w:r>
    </w:p>
    <w:p w14:paraId="7E515854">
      <w:r>
        <w:br w:type="page"/>
      </w:r>
    </w:p>
    <w:p w14:paraId="54F805E1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第四部分　协作沟通规范</w:t>
      </w:r>
    </w:p>
    <w:p w14:paraId="64DC45C1">
      <w:pPr>
        <w:spacing w:after="120"/>
      </w:pPr>
      <w:r>
        <w:rPr>
          <w:rFonts w:ascii="微软雅黑" w:hAnsi="微软雅黑" w:eastAsia="微软雅黑"/>
          <w:b w:val="0"/>
          <w:sz w:val="20"/>
        </w:rPr>
        <w:t>本节旨在规范修改需求的传达方式，从源头减少沟通误解。核心是：说清楚「改哪里」「改成什么」「为什么改」，如有必要和意愿可说明。</w:t>
      </w:r>
    </w:p>
    <w:p w14:paraId="372FFBED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4.1 修改需求标准格式</w:t>
      </w:r>
    </w:p>
    <w:p w14:paraId="6BF57196">
      <w:pPr>
        <w:spacing w:after="120"/>
      </w:pPr>
      <w:r>
        <w:rPr>
          <w:rFonts w:ascii="微软雅黑" w:hAnsi="微软雅黑" w:eastAsia="微软雅黑"/>
          <w:b w:val="0"/>
          <w:sz w:val="21"/>
        </w:rPr>
        <w:t>所有修改需求请按以下三要素提出，缺一不可：</w:t>
      </w:r>
    </w:p>
    <w:p w14:paraId="26CC5E08">
      <w:pPr>
        <w:spacing w:after="120"/>
      </w:pPr>
      <w:r>
        <w:rPr>
          <w:rFonts w:ascii="微软雅黑" w:hAnsi="微软雅黑" w:eastAsia="微软雅黑"/>
          <w:b/>
          <w:color w:val="1F4E79"/>
          <w:sz w:val="21"/>
        </w:rPr>
        <w:t>改哪里：原文需要修改的语句 / 文字 / 图片</w:t>
      </w:r>
    </w:p>
    <w:p w14:paraId="105BC40C">
      <w:pPr>
        <w:spacing w:after="120"/>
      </w:pPr>
      <w:r>
        <w:rPr>
          <w:rFonts w:ascii="微软雅黑" w:hAnsi="微软雅黑" w:eastAsia="微软雅黑"/>
          <w:b/>
          <w:color w:val="1F4E79"/>
          <w:sz w:val="21"/>
        </w:rPr>
        <w:t>改成：修改内容（直接粘贴完整新文案）</w:t>
      </w:r>
    </w:p>
    <w:p w14:paraId="65812C40">
      <w:pPr>
        <w:spacing w:after="120"/>
      </w:pPr>
      <w:r>
        <w:rPr>
          <w:rFonts w:ascii="微软雅黑" w:hAnsi="微软雅黑" w:eastAsia="微软雅黑"/>
          <w:b/>
          <w:color w:val="1F4E79"/>
          <w:sz w:val="21"/>
        </w:rPr>
        <w:t>修改原因：说明为什么改（如有需要或意愿可补充）</w:t>
      </w:r>
    </w:p>
    <w:p w14:paraId="7BEB2523">
      <w:pPr>
        <w:spacing w:after="120"/>
      </w:pPr>
      <w:r>
        <w:rPr>
          <w:rFonts w:ascii="微软雅黑" w:hAnsi="微软雅黑" w:eastAsia="微软雅黑"/>
          <w:b/>
          <w:sz w:val="21"/>
        </w:rPr>
        <w:t>格式示例：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1AEF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183824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6236" w:type="dxa"/>
            <w:shd w:val="clear" w:color="auto" w:fill="1F4E79"/>
          </w:tcPr>
          <w:p w14:paraId="0B34C5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 w14:paraId="018E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8454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改哪里</w:t>
            </w:r>
          </w:p>
        </w:tc>
        <w:tc>
          <w:tcPr>
            <w:tcW w:w="6236" w:type="dxa"/>
          </w:tcPr>
          <w:p w14:paraId="1AFD2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缺乏对未知资产的识别及持续风险监测，对未知资产、影子资产处于“一抹黑”的状态。</w:t>
            </w:r>
          </w:p>
        </w:tc>
      </w:tr>
      <w:tr w14:paraId="13AB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EACF5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改成</w:t>
            </w:r>
          </w:p>
        </w:tc>
        <w:tc>
          <w:tcPr>
            <w:tcW w:w="6236" w:type="dxa"/>
          </w:tcPr>
          <w:p w14:paraId="2132F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缺乏对未知资产、敏感数据的持续识别及监测，对未知资产、影子资产、敏感数据的状态处于“一抹黑”的状态。</w:t>
            </w:r>
          </w:p>
        </w:tc>
      </w:tr>
      <w:tr w14:paraId="34E6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CC45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修改原因（如有需要或意愿可补充）</w:t>
            </w:r>
          </w:p>
        </w:tc>
        <w:tc>
          <w:tcPr>
            <w:tcW w:w="6236" w:type="dxa"/>
          </w:tcPr>
          <w:p w14:paraId="0005C7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补充“敏感数据”这一关键对象，使表述更完整</w:t>
            </w:r>
          </w:p>
        </w:tc>
      </w:tr>
    </w:tbl>
    <w:p w14:paraId="036F3A5A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4.2 执行人收到修改需求后</w:t>
      </w:r>
    </w:p>
    <w:p w14:paraId="017600E8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按上述三要素收到需求 → 直接执行</w:t>
      </w:r>
    </w:p>
    <w:p w14:paraId="56527313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需求不完整（只说“改一下”没说改成什么/为什么）→ 反问补齐：“麻烦您按格式发我：改哪里 / 改成什么 / 修改原因？”</w:t>
      </w:r>
    </w:p>
    <w:p w14:paraId="09B31263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修改部分截图确认，所有内容修改完毕之后需重新发最终版预览确认</w:t>
      </w:r>
    </w:p>
    <w:p w14:paraId="77A429F2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领导确认 → 进入发布流程</w:t>
      </w:r>
    </w:p>
    <w:p w14:paraId="5B9C243B">
      <w:pPr>
        <w:ind w:left="283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C00000"/>
          <w:sz w:val="21"/>
        </w:rPr>
        <w:t>核心原则：任何修改，终稿必须经领导确认再发</w:t>
      </w:r>
      <w:r>
        <w:rPr>
          <w:rFonts w:hint="eastAsia"/>
          <w:b/>
          <w:color w:val="C00000"/>
          <w:sz w:val="21"/>
          <w:lang w:eastAsia="zh-CN"/>
        </w:rPr>
        <w:t>。</w:t>
      </w:r>
    </w:p>
    <w:p w14:paraId="584F38FB">
      <w:pPr>
        <w:spacing w:after="120"/>
        <w:jc w:val="both"/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C716C8"/>
    <w:rsid w:val="2C24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802</Words>
  <Characters>844</Characters>
  <Lines>0</Lines>
  <Paragraphs>0</Paragraphs>
  <TotalTime>1</TotalTime>
  <ScaleCrop>false</ScaleCrop>
  <LinksUpToDate>false</LinksUpToDate>
  <CharactersWithSpaces>875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Super-Grant</cp:lastModifiedBy>
  <dcterms:modified xsi:type="dcterms:W3CDTF">2026-09-09T03:47:41Z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eyJoZGlkIjoiYzkxOGRiNGUzMTE2OGJkM2E2ZmI2NDNhY2E1ZDFhMzIiLCJ1c2VySWQiOiI1NjIzODkyNzkifQ==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F026BDB0A129479690F58B1CE493012B_12</vt:lpwstr>
  </property>
</Properties>
</file>