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rFonts w:eastAsia="Times New Roman"/>
          <w:b/>
          <w:i/>
        </w:rPr>
      </w:sdtEndPr>
      <w:sdtContent>
        <w:p w14:paraId="281B19DF" w14:textId="3A6C086D" w:rsidR="000F5DE6" w:rsidRPr="00A23F73" w:rsidRDefault="00624DD2">
          <w:pPr>
            <w:pStyle w:val="NoSpacing"/>
            <w:rPr>
              <w:rFonts w:ascii="Arial" w:hAnsi="Arial" w:cs="Arial"/>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A23F73" w:rsidRDefault="00AE3A3A">
          <w:pPr>
            <w:rPr>
              <w:rFonts w:ascii="Arial" w:hAnsi="Arial" w:cs="Arial"/>
            </w:rPr>
          </w:pPr>
          <w:r w:rsidRPr="00A23F73">
            <w:rPr>
              <w:rFonts w:ascii="Arial" w:hAnsi="Arial" w:cs="Arial"/>
              <w:noProof/>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624DD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624DD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611A7043" w:rsidR="000E32F6" w:rsidRPr="00987EDE" w:rsidRDefault="00624DD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624DD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611A7043" w:rsidR="000E32F6" w:rsidRPr="00987EDE" w:rsidRDefault="00624DD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624DD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A23F73">
            <w:rPr>
              <w:rFonts w:ascii="Arial" w:hAnsi="Arial" w:cs="Arial"/>
              <w:b/>
              <w:i/>
            </w:rPr>
            <w:br w:type="page"/>
          </w:r>
        </w:p>
      </w:sdtContent>
    </w:sdt>
    <w:p w14:paraId="2EC11DC2" w14:textId="10FCE9B5" w:rsidR="00DA1C6D" w:rsidRPr="00A23F73"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lastRenderedPageBreak/>
        <w:t>What is Vioxx and why was it withdrawn?</w:t>
      </w:r>
    </w:p>
    <w:p w14:paraId="24BE40FE" w14:textId="1213F015" w:rsidR="00C8711B" w:rsidRPr="00A23F73" w:rsidRDefault="00C8711B" w:rsidP="00520E41">
      <w:pPr>
        <w:shd w:val="clear" w:color="auto" w:fill="FFFFFF"/>
        <w:spacing w:before="100" w:beforeAutospacing="1" w:after="100" w:afterAutospacing="1"/>
        <w:ind w:left="375"/>
        <w:rPr>
          <w:rFonts w:ascii="Arial" w:hAnsi="Arial" w:cs="Arial"/>
          <w:color w:val="2D3B45"/>
        </w:rPr>
      </w:pPr>
      <w:r w:rsidRPr="00A23F73">
        <w:rPr>
          <w:rFonts w:ascii="Arial" w:hAnsi="Arial" w:cs="Arial"/>
          <w:color w:val="2D3B45"/>
        </w:rPr>
        <w:t xml:space="preserve">Vioxx is the commercial name of nonsteroidal anti-inflammatory drug </w:t>
      </w:r>
      <w:proofErr w:type="spellStart"/>
      <w:r w:rsidRPr="00A23F73">
        <w:rPr>
          <w:rFonts w:ascii="Arial" w:hAnsi="Arial" w:cs="Arial"/>
          <w:color w:val="2D3B45"/>
        </w:rPr>
        <w:t>rofecoxib</w:t>
      </w:r>
      <w:proofErr w:type="spellEnd"/>
      <w:r w:rsidRPr="00A23F73">
        <w:rPr>
          <w:rFonts w:ascii="Arial" w:hAnsi="Arial" w:cs="Arial"/>
          <w:color w:val="2D3B45"/>
        </w:rPr>
        <w:t>, which was approved by the Food and Drug Administration (FDA) in 1999 and widely promoted as a pain reliever [r</w:t>
      </w:r>
      <w:commentRangeStart w:id="0"/>
      <w:r w:rsidRPr="00A23F73">
        <w:rPr>
          <w:rFonts w:ascii="Arial" w:hAnsi="Arial" w:cs="Arial"/>
          <w:color w:val="2D3B45"/>
        </w:rPr>
        <w:t>ef</w:t>
      </w:r>
      <w:commentRangeEnd w:id="0"/>
      <w:r w:rsidRPr="00A23F73">
        <w:rPr>
          <w:rStyle w:val="CommentReference"/>
          <w:sz w:val="24"/>
          <w:szCs w:val="24"/>
        </w:rPr>
        <w:commentReference w:id="0"/>
      </w:r>
      <w:r w:rsidRPr="00A23F73">
        <w:rPr>
          <w:rFonts w:ascii="Arial" w:hAnsi="Arial" w:cs="Arial"/>
          <w:color w:val="2D3B45"/>
        </w:rPr>
        <w:t>].</w:t>
      </w:r>
      <w:r w:rsidR="00520E41" w:rsidRPr="00A23F73">
        <w:rPr>
          <w:rFonts w:ascii="Arial" w:hAnsi="Arial" w:cs="Arial"/>
          <w:color w:val="2D3B45"/>
        </w:rPr>
        <w:t xml:space="preserve"> However, since then, </w:t>
      </w:r>
      <w:r w:rsidRPr="00A23F73">
        <w:rPr>
          <w:rFonts w:ascii="Arial" w:hAnsi="Arial" w:cs="Arial"/>
          <w:color w:val="2D3B45"/>
        </w:rPr>
        <w:t xml:space="preserve">studies and analyses confirmed that </w:t>
      </w:r>
      <w:r w:rsidR="00E93927" w:rsidRPr="00A23F73">
        <w:rPr>
          <w:rFonts w:ascii="Arial" w:hAnsi="Arial" w:cs="Arial"/>
          <w:color w:val="2D3B45"/>
        </w:rPr>
        <w:t>Vioxx</w:t>
      </w:r>
      <w:r w:rsidRPr="00A23F73">
        <w:rPr>
          <w:rFonts w:ascii="Arial" w:hAnsi="Arial" w:cs="Arial"/>
          <w:color w:val="2D3B45"/>
        </w:rPr>
        <w:t xml:space="preserve"> raised the </w:t>
      </w:r>
      <w:r w:rsidR="00E93927" w:rsidRPr="00A23F73">
        <w:rPr>
          <w:rFonts w:ascii="Arial" w:hAnsi="Arial" w:cs="Arial"/>
          <w:color w:val="2D3B45"/>
        </w:rPr>
        <w:t xml:space="preserve">risk of developing a confirmed adjudicated thrombotic cardiovascular event, including myocardial infarction, unstable angina, cardiac thrombus, etc., compared placebo </w:t>
      </w:r>
      <w:commentRangeStart w:id="1"/>
      <w:r w:rsidRPr="00A23F73">
        <w:rPr>
          <w:rFonts w:ascii="Arial" w:hAnsi="Arial" w:cs="Arial"/>
          <w:color w:val="2D3B45"/>
        </w:rPr>
        <w:t>[ref]</w:t>
      </w:r>
      <w:commentRangeEnd w:id="1"/>
      <w:r w:rsidRPr="00A23F73">
        <w:rPr>
          <w:rStyle w:val="CommentReference"/>
          <w:sz w:val="24"/>
          <w:szCs w:val="24"/>
        </w:rPr>
        <w:commentReference w:id="1"/>
      </w:r>
      <w:r w:rsidRPr="00A23F73">
        <w:rPr>
          <w:rFonts w:ascii="Arial" w:hAnsi="Arial" w:cs="Arial"/>
          <w:color w:val="2D3B45"/>
        </w:rPr>
        <w:t xml:space="preserve">. </w:t>
      </w:r>
      <w:r w:rsidR="00520E41" w:rsidRPr="00A23F73">
        <w:rPr>
          <w:rFonts w:ascii="Arial" w:hAnsi="Arial" w:cs="Arial"/>
          <w:color w:val="2D3B45"/>
        </w:rPr>
        <w:t xml:space="preserve">Thus, Vioxx was withdrawn from the market in </w:t>
      </w:r>
      <w:commentRangeStart w:id="2"/>
      <w:r w:rsidR="00520E41" w:rsidRPr="00A23F73">
        <w:rPr>
          <w:rFonts w:ascii="Arial" w:hAnsi="Arial" w:cs="Arial"/>
          <w:color w:val="2D3B45"/>
        </w:rPr>
        <w:t>2004</w:t>
      </w:r>
      <w:commentRangeEnd w:id="2"/>
      <w:r w:rsidR="00520E41" w:rsidRPr="00A23F73">
        <w:rPr>
          <w:rStyle w:val="CommentReference"/>
          <w:sz w:val="24"/>
          <w:szCs w:val="24"/>
        </w:rPr>
        <w:commentReference w:id="2"/>
      </w:r>
      <w:r w:rsidR="00520E41" w:rsidRPr="00A23F73">
        <w:rPr>
          <w:rFonts w:ascii="Arial" w:hAnsi="Arial" w:cs="Arial"/>
          <w:color w:val="2D3B45"/>
        </w:rPr>
        <w:t xml:space="preserve">. </w:t>
      </w:r>
    </w:p>
    <w:p w14:paraId="73EEEAAD" w14:textId="67196B43" w:rsidR="00A23F73" w:rsidRPr="00A23F73" w:rsidRDefault="00DA1C6D" w:rsidP="00A23F73">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What types health care data would Vioxx researchers need to determine its effect on the risk of myocardial infarction?  Why? How did you get to this conclusion? How could this data be used to determine its effect on the risk of myocardial infarction?</w:t>
      </w:r>
    </w:p>
    <w:p w14:paraId="295857B0" w14:textId="7E70AF48" w:rsidR="00A23F73" w:rsidRPr="00A23F73" w:rsidRDefault="00987EDE" w:rsidP="00A23F73">
      <w:pPr>
        <w:ind w:left="360" w:firstLine="15"/>
        <w:rPr>
          <w:rFonts w:ascii="Arial" w:hAnsi="Arial" w:cs="Arial"/>
          <w:color w:val="2D3B45"/>
        </w:rPr>
      </w:pPr>
      <w:r w:rsidRPr="00A23F73">
        <w:rPr>
          <w:rFonts w:ascii="Helvetica Neue" w:hAnsi="Helvetica Neue"/>
          <w:color w:val="333333"/>
        </w:rPr>
        <w:t>To determine Vioxx’s effect on the</w:t>
      </w:r>
      <w:r w:rsidR="005A1A47" w:rsidRPr="00A23F73">
        <w:rPr>
          <w:rFonts w:ascii="Helvetica Neue" w:hAnsi="Helvetica Neue"/>
          <w:color w:val="333333"/>
        </w:rPr>
        <w:t xml:space="preserve"> risk of myocardial infarction</w:t>
      </w:r>
      <w:r w:rsidR="00437532" w:rsidRPr="00A23F73">
        <w:rPr>
          <w:rFonts w:ascii="Helvetica Neue" w:hAnsi="Helvetica Neue"/>
          <w:color w:val="333333"/>
        </w:rPr>
        <w:t xml:space="preserve"> (MI)</w:t>
      </w:r>
      <w:r w:rsidR="005A1A47" w:rsidRPr="00A23F73">
        <w:rPr>
          <w:rFonts w:ascii="Helvetica Neue" w:hAnsi="Helvetica Neue"/>
          <w:color w:val="333333"/>
        </w:rPr>
        <w:t xml:space="preserve">, </w:t>
      </w:r>
      <w:r w:rsidR="00A23F73" w:rsidRPr="00A23F73">
        <w:rPr>
          <w:rFonts w:ascii="Helvetica Neue" w:hAnsi="Helvetica Neue"/>
          <w:color w:val="333333"/>
        </w:rPr>
        <w:t xml:space="preserve">we will need to </w:t>
      </w:r>
      <w:r w:rsidR="001E3A9A">
        <w:rPr>
          <w:rFonts w:ascii="Helvetica Neue" w:hAnsi="Helvetica Neue"/>
          <w:color w:val="333333"/>
        </w:rPr>
        <w:t xml:space="preserve">perform </w:t>
      </w:r>
      <w:r w:rsidR="001E3A9A" w:rsidRPr="001E3A9A">
        <w:rPr>
          <w:rFonts w:ascii="Helvetica Neue" w:hAnsi="Helvetica Neue"/>
          <w:color w:val="333333"/>
        </w:rPr>
        <w:t>randomized controlled trial</w:t>
      </w:r>
      <w:r w:rsidR="001E3A9A">
        <w:rPr>
          <w:rFonts w:ascii="Helvetica Neue" w:hAnsi="Helvetica Neue"/>
          <w:color w:val="333333"/>
        </w:rPr>
        <w:t xml:space="preserve"> (RCT) to </w:t>
      </w:r>
      <w:r w:rsidR="00A23F73" w:rsidRPr="00A23F73">
        <w:rPr>
          <w:rFonts w:ascii="Helvetica Neue" w:hAnsi="Helvetica Neue"/>
          <w:color w:val="333333"/>
        </w:rPr>
        <w:t xml:space="preserve">compare the chance of developing MI using the patients that are treated with Vioxx, versus the patients that are treated with other </w:t>
      </w:r>
      <w:r w:rsidR="00A23F73" w:rsidRPr="00A23F73">
        <w:rPr>
          <w:rFonts w:ascii="Arial" w:hAnsi="Arial" w:cs="Arial"/>
          <w:color w:val="2D3B45"/>
        </w:rPr>
        <w:t>anti-inflammatory</w:t>
      </w:r>
      <w:r w:rsidR="00A23F73" w:rsidRPr="00A23F73">
        <w:rPr>
          <w:rFonts w:ascii="Arial" w:hAnsi="Arial" w:cs="Arial"/>
          <w:color w:val="2D3B45"/>
        </w:rPr>
        <w:t xml:space="preserve"> drugs. Two major points in this trial: (1). The number of patient should be large enough to statistically expose the potential risk. (2). This clinical trial needs to be performed as double-blind and randomized to ensure no subjective effect to the result. </w:t>
      </w:r>
    </w:p>
    <w:p w14:paraId="60E53A12" w14:textId="77777777" w:rsidR="00A23F73" w:rsidRPr="00A23F73" w:rsidRDefault="00A23F73" w:rsidP="00A23F73">
      <w:pPr>
        <w:ind w:left="360" w:firstLine="15"/>
        <w:rPr>
          <w:rFonts w:ascii="Arial" w:hAnsi="Arial" w:cs="Arial"/>
          <w:color w:val="2D3B45"/>
        </w:rPr>
      </w:pPr>
    </w:p>
    <w:p w14:paraId="5278DBC0" w14:textId="682A1F99" w:rsidR="00DA1C6D" w:rsidRDefault="00A23F73" w:rsidP="00A23F73">
      <w:pPr>
        <w:ind w:left="360" w:firstLine="15"/>
        <w:rPr>
          <w:rFonts w:ascii="Arial" w:hAnsi="Arial" w:cs="Arial"/>
          <w:color w:val="2D3B45"/>
        </w:rPr>
      </w:pPr>
      <w:r w:rsidRPr="00A23F73">
        <w:rPr>
          <w:rFonts w:ascii="Helvetica Neue" w:hAnsi="Helvetica Neue"/>
          <w:color w:val="333333"/>
        </w:rPr>
        <w:t>I got such conclusion, as this conclusion is supported by actual randomized trials. R</w:t>
      </w:r>
      <w:r w:rsidR="00987EDE" w:rsidRPr="00A23F73">
        <w:rPr>
          <w:rFonts w:ascii="Helvetica Neue" w:hAnsi="Helvetica Neue"/>
          <w:color w:val="333333"/>
        </w:rPr>
        <w:t>esearchers performed several</w:t>
      </w:r>
      <w:r w:rsidR="00E93927" w:rsidRPr="00A23F73">
        <w:rPr>
          <w:rFonts w:ascii="Helvetica Neue" w:hAnsi="Helvetica Neue"/>
          <w:color w:val="333333"/>
        </w:rPr>
        <w:t xml:space="preserve"> </w:t>
      </w:r>
      <w:r w:rsidR="00437532" w:rsidRPr="00A23F73">
        <w:rPr>
          <w:rFonts w:ascii="Helvetica Neue" w:hAnsi="Helvetica Neue"/>
          <w:color w:val="333333"/>
        </w:rPr>
        <w:t xml:space="preserve">large-scale </w:t>
      </w:r>
      <w:r w:rsidR="00E93927" w:rsidRPr="00A23F73">
        <w:rPr>
          <w:rFonts w:ascii="Helvetica Neue" w:hAnsi="Helvetica Neue"/>
          <w:color w:val="333333"/>
        </w:rPr>
        <w:t>randomized trials</w:t>
      </w:r>
      <w:r w:rsidR="00437532" w:rsidRPr="00A23F73">
        <w:rPr>
          <w:rFonts w:ascii="Helvetica Neue" w:hAnsi="Helvetica Neue"/>
          <w:color w:val="333333"/>
        </w:rPr>
        <w:t xml:space="preserve">: the smaller ones include ~1000 patients, while the larger ones included ~9000 patients. Patients are given either Rofecoxib (the chemical name of Vioxx) </w:t>
      </w:r>
      <w:r w:rsidR="002F0069" w:rsidRPr="00A23F73">
        <w:rPr>
          <w:rFonts w:ascii="Helvetica Neue" w:hAnsi="Helvetica Neue"/>
          <w:color w:val="333333"/>
        </w:rPr>
        <w:t xml:space="preserve">versus </w:t>
      </w:r>
      <w:r w:rsidR="00437532" w:rsidRPr="00A23F73">
        <w:rPr>
          <w:rFonts w:ascii="Helvetica Neue" w:hAnsi="Helvetica Neue"/>
          <w:color w:val="333333"/>
        </w:rPr>
        <w:t>another kind of anti-inflammatory drug</w:t>
      </w:r>
      <w:r w:rsidR="002F0069" w:rsidRPr="00A23F73">
        <w:rPr>
          <w:rFonts w:ascii="Helvetica Neue" w:hAnsi="Helvetica Neue"/>
          <w:color w:val="333333"/>
        </w:rPr>
        <w:t xml:space="preserve">, or placebo </w:t>
      </w:r>
      <w:r w:rsidR="00437532" w:rsidRPr="00A23F73">
        <w:rPr>
          <w:rFonts w:ascii="Helvetica Neue" w:hAnsi="Helvetica Neue"/>
          <w:color w:val="333333"/>
        </w:rPr>
        <w:t xml:space="preserve">(negative control) over 12 months. The percentage of patients developed MI events in both </w:t>
      </w:r>
      <w:r w:rsidRPr="00A23F73">
        <w:rPr>
          <w:rFonts w:ascii="Helvetica Neue" w:hAnsi="Helvetica Neue"/>
          <w:color w:val="333333"/>
        </w:rPr>
        <w:t xml:space="preserve">patient </w:t>
      </w:r>
      <w:r w:rsidR="00437532" w:rsidRPr="00A23F73">
        <w:rPr>
          <w:rFonts w:ascii="Helvetica Neue" w:hAnsi="Helvetica Neue"/>
          <w:color w:val="333333"/>
        </w:rPr>
        <w:t>groups (i.e. treated with Rofecoxib or the control) is compared</w:t>
      </w:r>
      <w:r w:rsidRPr="00A23F73">
        <w:rPr>
          <w:rFonts w:ascii="Helvetica Neue" w:hAnsi="Helvetica Neue"/>
          <w:color w:val="333333"/>
        </w:rPr>
        <w:t xml:space="preserve"> against each other</w:t>
      </w:r>
      <w:r w:rsidR="00437532" w:rsidRPr="00A23F73">
        <w:rPr>
          <w:rFonts w:ascii="Helvetica Neue" w:hAnsi="Helvetica Neue"/>
          <w:color w:val="333333"/>
        </w:rPr>
        <w:t xml:space="preserve"> to determine the effect of Rofecoxib on the risk of myocardial infarction</w:t>
      </w:r>
      <w:r w:rsidR="000A2ACC" w:rsidRPr="00A23F73">
        <w:rPr>
          <w:rFonts w:ascii="Helvetica Neue" w:hAnsi="Helvetica Neue"/>
          <w:color w:val="333333"/>
        </w:rPr>
        <w:t xml:space="preserve"> </w:t>
      </w:r>
      <w:commentRangeStart w:id="3"/>
      <w:r w:rsidR="000A2ACC" w:rsidRPr="00A23F73">
        <w:rPr>
          <w:rFonts w:ascii="Arial" w:hAnsi="Arial" w:cs="Arial"/>
          <w:color w:val="2D3B45"/>
        </w:rPr>
        <w:t>[ref]</w:t>
      </w:r>
      <w:commentRangeEnd w:id="3"/>
      <w:r w:rsidR="000A2ACC" w:rsidRPr="00A23F73">
        <w:rPr>
          <w:rStyle w:val="CommentReference"/>
          <w:sz w:val="24"/>
          <w:szCs w:val="24"/>
        </w:rPr>
        <w:commentReference w:id="3"/>
      </w:r>
      <w:r w:rsidR="000A2ACC" w:rsidRPr="00A23F73">
        <w:rPr>
          <w:rFonts w:ascii="Arial" w:hAnsi="Arial" w:cs="Arial"/>
          <w:color w:val="2D3B45"/>
        </w:rPr>
        <w:t>.</w:t>
      </w:r>
    </w:p>
    <w:p w14:paraId="330B2F49" w14:textId="77777777" w:rsidR="00A23F73" w:rsidRPr="00A23F73" w:rsidRDefault="00A23F73" w:rsidP="00A23F73">
      <w:pPr>
        <w:ind w:left="360" w:firstLine="15"/>
        <w:rPr>
          <w:rFonts w:ascii="Arial" w:hAnsi="Arial" w:cs="Arial"/>
          <w:color w:val="2D3B45"/>
        </w:rPr>
      </w:pPr>
    </w:p>
    <w:p w14:paraId="18CFAADE" w14:textId="56A09643" w:rsidR="00DA1C6D" w:rsidRPr="00A23F73"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 xml:space="preserve">How could Vioxx researchers go about getting these data for a patient like JM? What are the barriers to getting this type of data (privacy, lack of data standards, </w:t>
      </w:r>
      <w:proofErr w:type="spellStart"/>
      <w:r w:rsidRPr="00A23F73">
        <w:rPr>
          <w:rFonts w:ascii="Arial" w:hAnsi="Arial" w:cs="Arial"/>
          <w:b/>
          <w:bCs/>
          <w:color w:val="2D3B45"/>
        </w:rPr>
        <w:t>etc</w:t>
      </w:r>
      <w:proofErr w:type="spellEnd"/>
      <w:r w:rsidRPr="00A23F73">
        <w:rPr>
          <w:rFonts w:ascii="Arial" w:hAnsi="Arial" w:cs="Arial"/>
          <w:b/>
          <w:bCs/>
          <w:color w:val="2D3B45"/>
        </w:rPr>
        <w:t>)?</w:t>
      </w:r>
    </w:p>
    <w:p w14:paraId="1E0B4E61" w14:textId="00E9EEEC" w:rsidR="0005216E" w:rsidRDefault="00102DF6" w:rsidP="0005216E">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Back in early 2000s, the researchers performed clinical trials on Vioxx versus placebo by randomly assigning large </w:t>
      </w:r>
      <w:r w:rsidR="0005216E">
        <w:rPr>
          <w:rFonts w:ascii="Arial" w:hAnsi="Arial" w:cs="Arial"/>
          <w:color w:val="2D3B45"/>
        </w:rPr>
        <w:t>number</w:t>
      </w:r>
      <w:r>
        <w:rPr>
          <w:rFonts w:ascii="Arial" w:hAnsi="Arial" w:cs="Arial"/>
          <w:color w:val="2D3B45"/>
        </w:rPr>
        <w:t xml:space="preserve"> of patients that needs </w:t>
      </w:r>
      <w:r w:rsidR="0005216E">
        <w:rPr>
          <w:rFonts w:ascii="Arial" w:hAnsi="Arial" w:cs="Arial"/>
          <w:color w:val="2D3B45"/>
        </w:rPr>
        <w:t xml:space="preserve">long-term </w:t>
      </w:r>
      <w:r w:rsidRPr="00A23F73">
        <w:rPr>
          <w:rFonts w:ascii="Arial" w:hAnsi="Arial" w:cs="Arial"/>
          <w:color w:val="2D3B45"/>
        </w:rPr>
        <w:t xml:space="preserve">anti-inflammatory </w:t>
      </w:r>
      <w:r>
        <w:rPr>
          <w:rFonts w:ascii="Arial" w:hAnsi="Arial" w:cs="Arial"/>
          <w:color w:val="2D3B45"/>
        </w:rPr>
        <w:t>drug treatment</w:t>
      </w:r>
      <w:r w:rsidR="0005216E">
        <w:rPr>
          <w:rFonts w:ascii="Arial" w:hAnsi="Arial" w:cs="Arial"/>
          <w:color w:val="2D3B45"/>
        </w:rPr>
        <w:t xml:space="preserve"> (e.g. </w:t>
      </w:r>
      <w:r w:rsidR="0005216E">
        <w:rPr>
          <w:rFonts w:ascii="Arial" w:hAnsi="Arial" w:cs="Arial"/>
          <w:color w:val="2D3B45"/>
        </w:rPr>
        <w:t>have</w:t>
      </w:r>
      <w:r w:rsidR="0005216E" w:rsidRPr="00102DF6">
        <w:rPr>
          <w:rFonts w:ascii="Arial" w:hAnsi="Arial" w:cs="Arial"/>
          <w:color w:val="2D3B45"/>
        </w:rPr>
        <w:t xml:space="preserve"> rheumatoid arthritis</w:t>
      </w:r>
      <w:r w:rsidR="0005216E">
        <w:rPr>
          <w:rFonts w:ascii="Arial" w:hAnsi="Arial" w:cs="Arial"/>
          <w:color w:val="2D3B45"/>
        </w:rPr>
        <w:t>)</w:t>
      </w:r>
      <w:r>
        <w:rPr>
          <w:rFonts w:ascii="Arial" w:hAnsi="Arial" w:cs="Arial"/>
          <w:color w:val="2D3B45"/>
        </w:rPr>
        <w:t xml:space="preserve"> and fit </w:t>
      </w:r>
      <w:r w:rsidR="0005216E">
        <w:rPr>
          <w:rFonts w:ascii="Arial" w:hAnsi="Arial" w:cs="Arial"/>
          <w:color w:val="2D3B45"/>
        </w:rPr>
        <w:t xml:space="preserve">certain </w:t>
      </w:r>
      <w:r>
        <w:rPr>
          <w:rFonts w:ascii="Arial" w:hAnsi="Arial" w:cs="Arial"/>
          <w:color w:val="2D3B45"/>
        </w:rPr>
        <w:t>health conditions (</w:t>
      </w:r>
      <w:r w:rsidR="0005216E">
        <w:rPr>
          <w:rFonts w:ascii="Arial" w:hAnsi="Arial" w:cs="Arial"/>
          <w:color w:val="2D3B45"/>
        </w:rPr>
        <w:t>e.g.</w:t>
      </w:r>
      <w:r>
        <w:rPr>
          <w:rFonts w:ascii="Arial" w:hAnsi="Arial" w:cs="Arial"/>
          <w:color w:val="2D3B45"/>
        </w:rPr>
        <w:t xml:space="preserve"> </w:t>
      </w:r>
      <w:r w:rsidRPr="00102DF6">
        <w:rPr>
          <w:rFonts w:ascii="Arial" w:hAnsi="Arial" w:cs="Arial"/>
          <w:color w:val="2D3B45"/>
        </w:rPr>
        <w:t>at least 50 years of age</w:t>
      </w:r>
      <w:r>
        <w:rPr>
          <w:rFonts w:ascii="Arial" w:hAnsi="Arial" w:cs="Arial"/>
          <w:color w:val="2D3B45"/>
        </w:rPr>
        <w:t xml:space="preserve">, </w:t>
      </w:r>
      <w:r w:rsidR="0005216E">
        <w:rPr>
          <w:rFonts w:ascii="Arial" w:hAnsi="Arial" w:cs="Arial"/>
          <w:color w:val="2D3B45"/>
        </w:rPr>
        <w:t>etc.</w:t>
      </w:r>
      <w:r>
        <w:rPr>
          <w:rFonts w:ascii="Arial" w:hAnsi="Arial" w:cs="Arial"/>
          <w:color w:val="2D3B45"/>
        </w:rPr>
        <w:t xml:space="preserve">) to receive either </w:t>
      </w:r>
      <w:r>
        <w:rPr>
          <w:rFonts w:ascii="Arial" w:hAnsi="Arial" w:cs="Arial"/>
          <w:color w:val="2D3B45"/>
        </w:rPr>
        <w:t>Vioxx</w:t>
      </w:r>
      <w:r>
        <w:rPr>
          <w:rFonts w:ascii="Arial" w:hAnsi="Arial" w:cs="Arial"/>
          <w:color w:val="2D3B45"/>
        </w:rPr>
        <w:t xml:space="preserve">, or another kind of </w:t>
      </w:r>
      <w:r w:rsidRPr="00A23F73">
        <w:rPr>
          <w:rFonts w:ascii="Arial" w:hAnsi="Arial" w:cs="Arial"/>
          <w:color w:val="2D3B45"/>
        </w:rPr>
        <w:t xml:space="preserve">anti-inflammatory </w:t>
      </w:r>
      <w:r>
        <w:rPr>
          <w:rFonts w:ascii="Arial" w:hAnsi="Arial" w:cs="Arial"/>
          <w:color w:val="2D3B45"/>
        </w:rPr>
        <w:t>drug</w:t>
      </w:r>
      <w:r w:rsidR="0005216E">
        <w:rPr>
          <w:rFonts w:ascii="Arial" w:hAnsi="Arial" w:cs="Arial"/>
          <w:color w:val="2D3B45"/>
        </w:rPr>
        <w:t xml:space="preserve"> every day</w:t>
      </w:r>
      <w:r>
        <w:rPr>
          <w:rFonts w:ascii="Arial" w:hAnsi="Arial" w:cs="Arial"/>
          <w:color w:val="2D3B45"/>
        </w:rPr>
        <w:t xml:space="preserve">. </w:t>
      </w:r>
      <w:r w:rsidR="0005216E">
        <w:rPr>
          <w:rFonts w:ascii="Arial" w:hAnsi="Arial" w:cs="Arial"/>
          <w:color w:val="2D3B45"/>
        </w:rPr>
        <w:t>In the next 12 months, the number of p</w:t>
      </w:r>
      <w:r w:rsidR="0005216E" w:rsidRPr="0005216E">
        <w:rPr>
          <w:rFonts w:ascii="Arial" w:hAnsi="Arial" w:cs="Arial"/>
          <w:color w:val="2D3B45"/>
        </w:rPr>
        <w:t>atients who had potential clinical events</w:t>
      </w:r>
      <w:r w:rsidR="0005216E">
        <w:rPr>
          <w:rFonts w:ascii="Arial" w:hAnsi="Arial" w:cs="Arial"/>
          <w:color w:val="2D3B45"/>
        </w:rPr>
        <w:t xml:space="preserve"> that is associated with Vioxx </w:t>
      </w:r>
      <w:r w:rsidR="0005216E" w:rsidRPr="0005216E">
        <w:rPr>
          <w:rFonts w:ascii="Arial" w:hAnsi="Arial" w:cs="Arial"/>
          <w:color w:val="2D3B45"/>
        </w:rPr>
        <w:t>were evaluated</w:t>
      </w:r>
      <w:r w:rsidR="0005216E">
        <w:rPr>
          <w:rFonts w:ascii="Arial" w:hAnsi="Arial" w:cs="Arial"/>
          <w:color w:val="2D3B45"/>
        </w:rPr>
        <w:t>, and thus included in the statistical analysis [</w:t>
      </w:r>
      <w:commentRangeStart w:id="4"/>
      <w:r w:rsidR="0005216E">
        <w:rPr>
          <w:rFonts w:ascii="Arial" w:hAnsi="Arial" w:cs="Arial"/>
          <w:color w:val="2D3B45"/>
        </w:rPr>
        <w:t>ref].</w:t>
      </w:r>
      <w:commentRangeEnd w:id="4"/>
      <w:r w:rsidR="0005216E">
        <w:rPr>
          <w:rStyle w:val="CommentReference"/>
          <w:rFonts w:eastAsia="SimSun"/>
        </w:rPr>
        <w:commentReference w:id="4"/>
      </w:r>
    </w:p>
    <w:p w14:paraId="4C6E31C5" w14:textId="2683A1AD" w:rsidR="00E27D84" w:rsidRDefault="00E27D84" w:rsidP="00E27D84">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There are several barriers for researchers to perform similar drug-based clinical data and get similar data. First, such clinical study will need to be approved by an </w:t>
      </w:r>
      <w:r w:rsidRPr="00E27D84">
        <w:rPr>
          <w:rFonts w:ascii="Arial" w:hAnsi="Arial" w:cs="Arial"/>
          <w:color w:val="2D3B45"/>
        </w:rPr>
        <w:t>institutional review board or ethics review committee at</w:t>
      </w:r>
      <w:r>
        <w:rPr>
          <w:rFonts w:ascii="Arial" w:hAnsi="Arial" w:cs="Arial"/>
          <w:color w:val="2D3B45"/>
        </w:rPr>
        <w:t xml:space="preserve"> each participating clinical centers. For example, in the Vioxx clinical study mentioned above, the study</w:t>
      </w:r>
      <w:r w:rsidRPr="00E27D84">
        <w:rPr>
          <w:rFonts w:ascii="Arial" w:hAnsi="Arial" w:cs="Arial"/>
          <w:color w:val="2D3B45"/>
        </w:rPr>
        <w:t xml:space="preserve"> was conducted at 301 </w:t>
      </w:r>
      <w:r>
        <w:rPr>
          <w:rFonts w:ascii="Arial" w:hAnsi="Arial" w:cs="Arial"/>
          <w:color w:val="2D3B45"/>
        </w:rPr>
        <w:t xml:space="preserve">clinical </w:t>
      </w:r>
      <w:r w:rsidRPr="00E27D84">
        <w:rPr>
          <w:rFonts w:ascii="Arial" w:hAnsi="Arial" w:cs="Arial"/>
          <w:color w:val="2D3B45"/>
        </w:rPr>
        <w:t>centers in 22 countries</w:t>
      </w:r>
      <w:r>
        <w:rPr>
          <w:rFonts w:ascii="Arial" w:hAnsi="Arial" w:cs="Arial"/>
          <w:color w:val="2D3B45"/>
        </w:rPr>
        <w:t xml:space="preserve"> </w:t>
      </w:r>
      <w:r>
        <w:rPr>
          <w:rFonts w:ascii="Arial" w:hAnsi="Arial" w:cs="Arial"/>
          <w:color w:val="2D3B45"/>
        </w:rPr>
        <w:t>[</w:t>
      </w:r>
      <w:commentRangeStart w:id="5"/>
      <w:r>
        <w:rPr>
          <w:rFonts w:ascii="Arial" w:hAnsi="Arial" w:cs="Arial"/>
          <w:color w:val="2D3B45"/>
        </w:rPr>
        <w:t>ref].</w:t>
      </w:r>
      <w:commentRangeEnd w:id="5"/>
      <w:r>
        <w:rPr>
          <w:rStyle w:val="CommentReference"/>
          <w:rFonts w:eastAsia="SimSun"/>
        </w:rPr>
        <w:commentReference w:id="5"/>
      </w:r>
      <w:r>
        <w:rPr>
          <w:rFonts w:ascii="Arial" w:hAnsi="Arial" w:cs="Arial"/>
          <w:color w:val="2D3B45"/>
        </w:rPr>
        <w:t xml:space="preserve">Thus, performing revision </w:t>
      </w:r>
      <w:r>
        <w:rPr>
          <w:rFonts w:ascii="Arial" w:hAnsi="Arial" w:cs="Arial"/>
          <w:color w:val="2D3B45"/>
        </w:rPr>
        <w:lastRenderedPageBreak/>
        <w:t xml:space="preserve">on the clinical study in all participating centers requires heavy administrative work loads. </w:t>
      </w:r>
    </w:p>
    <w:p w14:paraId="09D1370F" w14:textId="75BF8C41" w:rsidR="00E27D84" w:rsidRDefault="00EA5545" w:rsidP="00E27D84">
      <w:pPr>
        <w:shd w:val="clear" w:color="auto" w:fill="FFFFFF"/>
        <w:spacing w:before="100" w:beforeAutospacing="1" w:after="100" w:afterAutospacing="1"/>
        <w:ind w:left="375"/>
        <w:rPr>
          <w:rFonts w:ascii="Arial" w:hAnsi="Arial" w:cs="Arial"/>
          <w:color w:val="2D3B45"/>
        </w:rPr>
      </w:pPr>
      <w:r>
        <w:rPr>
          <w:rFonts w:ascii="Arial" w:hAnsi="Arial" w:cs="Arial"/>
          <w:color w:val="2D3B45"/>
        </w:rPr>
        <w:t>Secondly</w:t>
      </w:r>
      <w:r w:rsidR="00E27D84">
        <w:rPr>
          <w:rFonts w:ascii="Arial" w:hAnsi="Arial" w:cs="Arial"/>
          <w:color w:val="2D3B45"/>
        </w:rPr>
        <w:t xml:space="preserve">, performing such clinical trial need to </w:t>
      </w:r>
      <w:r>
        <w:rPr>
          <w:rFonts w:ascii="Arial" w:hAnsi="Arial" w:cs="Arial"/>
          <w:color w:val="2D3B45"/>
        </w:rPr>
        <w:t>prescribe a large</w:t>
      </w:r>
      <w:r w:rsidR="00E27D84">
        <w:rPr>
          <w:rFonts w:ascii="Arial" w:hAnsi="Arial" w:cs="Arial"/>
          <w:color w:val="2D3B45"/>
        </w:rPr>
        <w:t xml:space="preserve"> number of </w:t>
      </w:r>
      <w:r>
        <w:rPr>
          <w:rFonts w:ascii="Arial" w:hAnsi="Arial" w:cs="Arial"/>
          <w:color w:val="2D3B45"/>
        </w:rPr>
        <w:t>treatments</w:t>
      </w:r>
      <w:r w:rsidR="00E27D84">
        <w:rPr>
          <w:rFonts w:ascii="Arial" w:hAnsi="Arial" w:cs="Arial"/>
          <w:color w:val="2D3B45"/>
        </w:rPr>
        <w:t xml:space="preserve">. As we have discussed above, a large Vioxx study included ~9000 patients to participate. </w:t>
      </w:r>
      <w:r w:rsidR="001E3A9A">
        <w:rPr>
          <w:rFonts w:ascii="Arial" w:hAnsi="Arial" w:cs="Arial"/>
          <w:color w:val="2D3B45"/>
        </w:rPr>
        <w:t>This</w:t>
      </w:r>
      <w:r w:rsidR="00E27D84">
        <w:rPr>
          <w:rFonts w:ascii="Arial" w:hAnsi="Arial" w:cs="Arial"/>
          <w:color w:val="2D3B45"/>
        </w:rPr>
        <w:t xml:space="preserve"> clinical study </w:t>
      </w:r>
      <w:r w:rsidR="001E3A9A">
        <w:rPr>
          <w:rFonts w:ascii="Arial" w:hAnsi="Arial" w:cs="Arial"/>
          <w:color w:val="2D3B45"/>
        </w:rPr>
        <w:t>is feasible</w:t>
      </w:r>
      <w:r w:rsidR="00E27D84">
        <w:rPr>
          <w:rFonts w:ascii="Arial" w:hAnsi="Arial" w:cs="Arial"/>
          <w:color w:val="2D3B45"/>
        </w:rPr>
        <w:t xml:space="preserve"> for </w:t>
      </w:r>
      <w:r w:rsidR="001E3A9A">
        <w:rPr>
          <w:rFonts w:ascii="Arial" w:hAnsi="Arial" w:cs="Arial"/>
          <w:color w:val="2D3B45"/>
        </w:rPr>
        <w:t xml:space="preserve">Vioxx, </w:t>
      </w:r>
      <w:r w:rsidR="00E27D84">
        <w:rPr>
          <w:rFonts w:ascii="Arial" w:hAnsi="Arial" w:cs="Arial"/>
          <w:color w:val="2D3B45"/>
        </w:rPr>
        <w:t>an in-expensive drug</w:t>
      </w:r>
      <w:r w:rsidR="001E3A9A">
        <w:rPr>
          <w:rFonts w:ascii="Arial" w:hAnsi="Arial" w:cs="Arial"/>
          <w:color w:val="2D3B45"/>
        </w:rPr>
        <w:t>, as a daily dose of 50 mg [</w:t>
      </w:r>
      <w:commentRangeStart w:id="6"/>
      <w:r w:rsidR="001E3A9A">
        <w:rPr>
          <w:rFonts w:ascii="Arial" w:hAnsi="Arial" w:cs="Arial"/>
          <w:color w:val="2D3B45"/>
        </w:rPr>
        <w:t>ref</w:t>
      </w:r>
      <w:commentRangeEnd w:id="6"/>
      <w:r w:rsidR="001E3A9A">
        <w:rPr>
          <w:rStyle w:val="CommentReference"/>
          <w:rFonts w:eastAsia="SimSun"/>
        </w:rPr>
        <w:commentReference w:id="6"/>
      </w:r>
      <w:r w:rsidR="001E3A9A">
        <w:rPr>
          <w:rFonts w:ascii="Arial" w:hAnsi="Arial" w:cs="Arial"/>
          <w:color w:val="2D3B45"/>
        </w:rPr>
        <w:t>] tablet of Vioxx costs $3.07 in the year of 2000</w:t>
      </w:r>
      <w:r>
        <w:rPr>
          <w:rFonts w:ascii="Arial" w:hAnsi="Arial" w:cs="Arial"/>
          <w:color w:val="2D3B45"/>
        </w:rPr>
        <w:t xml:space="preserve"> [</w:t>
      </w:r>
      <w:commentRangeStart w:id="7"/>
      <w:r>
        <w:rPr>
          <w:rFonts w:ascii="Arial" w:hAnsi="Arial" w:cs="Arial"/>
          <w:color w:val="2D3B45"/>
        </w:rPr>
        <w:t>ref</w:t>
      </w:r>
      <w:commentRangeEnd w:id="7"/>
      <w:r>
        <w:rPr>
          <w:rStyle w:val="CommentReference"/>
          <w:rFonts w:eastAsia="SimSun"/>
        </w:rPr>
        <w:commentReference w:id="7"/>
      </w:r>
      <w:r>
        <w:rPr>
          <w:rFonts w:ascii="Arial" w:hAnsi="Arial" w:cs="Arial"/>
          <w:color w:val="2D3B45"/>
        </w:rPr>
        <w:t>]</w:t>
      </w:r>
      <w:r w:rsidR="001E3A9A">
        <w:rPr>
          <w:rFonts w:ascii="Arial" w:hAnsi="Arial" w:cs="Arial"/>
          <w:color w:val="2D3B45"/>
        </w:rPr>
        <w:t>). However,</w:t>
      </w:r>
      <w:r w:rsidR="00E27D84">
        <w:rPr>
          <w:rFonts w:ascii="Arial" w:hAnsi="Arial" w:cs="Arial"/>
          <w:color w:val="2D3B45"/>
        </w:rPr>
        <w:t xml:space="preserve"> the financial expense for clinical studies on a more expensive drug</w:t>
      </w:r>
      <w:r>
        <w:rPr>
          <w:rFonts w:ascii="Arial" w:hAnsi="Arial" w:cs="Arial"/>
          <w:color w:val="2D3B45"/>
        </w:rPr>
        <w:t xml:space="preserve"> will increase dramatically. </w:t>
      </w:r>
    </w:p>
    <w:p w14:paraId="3AF72932" w14:textId="3CD50DF7" w:rsidR="00EA5545" w:rsidRDefault="00EA5545" w:rsidP="00EA5545">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Furthermore, </w:t>
      </w:r>
      <w:r>
        <w:rPr>
          <w:rFonts w:ascii="Arial" w:hAnsi="Arial" w:cs="Arial"/>
          <w:color w:val="2D3B45"/>
        </w:rPr>
        <w:t>performing such clinical trial need to collect data from a large number of patients.</w:t>
      </w:r>
      <w:r>
        <w:rPr>
          <w:rFonts w:ascii="Arial" w:hAnsi="Arial" w:cs="Arial"/>
          <w:color w:val="2D3B45"/>
        </w:rPr>
        <w:t xml:space="preserve"> Similarly, the Vioxx clinical study is capable to involve ~9000 patients, is because that Vioxx is used to perform a common medical</w:t>
      </w:r>
      <w:r>
        <w:rPr>
          <w:rFonts w:ascii="Arial" w:hAnsi="Arial" w:cs="Arial"/>
          <w:color w:val="2D3B45"/>
        </w:rPr>
        <w:t xml:space="preserve"> treatment such as </w:t>
      </w:r>
      <w:r w:rsidRPr="00A23F73">
        <w:rPr>
          <w:rFonts w:ascii="Arial" w:hAnsi="Arial" w:cs="Arial"/>
          <w:color w:val="2D3B45"/>
        </w:rPr>
        <w:t>anti-inflammatory</w:t>
      </w:r>
      <w:r>
        <w:rPr>
          <w:rFonts w:ascii="Arial" w:hAnsi="Arial" w:cs="Arial"/>
          <w:color w:val="2D3B45"/>
        </w:rPr>
        <w:t>. For</w:t>
      </w:r>
      <w:r>
        <w:rPr>
          <w:rFonts w:ascii="Arial" w:hAnsi="Arial" w:cs="Arial"/>
          <w:color w:val="2D3B45"/>
        </w:rPr>
        <w:t xml:space="preserve"> a drug that is used for a </w:t>
      </w:r>
      <w:r>
        <w:rPr>
          <w:rFonts w:ascii="Arial" w:hAnsi="Arial" w:cs="Arial"/>
          <w:color w:val="2D3B45"/>
        </w:rPr>
        <w:t>rarer</w:t>
      </w:r>
      <w:r>
        <w:rPr>
          <w:rFonts w:ascii="Arial" w:hAnsi="Arial" w:cs="Arial"/>
          <w:color w:val="2D3B45"/>
        </w:rPr>
        <w:t xml:space="preserve"> treatment, </w:t>
      </w:r>
      <w:r>
        <w:rPr>
          <w:rFonts w:ascii="Arial" w:hAnsi="Arial" w:cs="Arial"/>
          <w:color w:val="2D3B45"/>
        </w:rPr>
        <w:t xml:space="preserve">performing similar clinical study will be much harder.  In such scenario, </w:t>
      </w:r>
      <w:r w:rsidR="001E3A9A">
        <w:rPr>
          <w:rFonts w:ascii="Arial" w:hAnsi="Arial" w:cs="Arial"/>
          <w:color w:val="2D3B45"/>
        </w:rPr>
        <w:t>i</w:t>
      </w:r>
      <w:r>
        <w:rPr>
          <w:rFonts w:ascii="Arial" w:hAnsi="Arial" w:cs="Arial"/>
          <w:color w:val="2D3B45"/>
        </w:rPr>
        <w:t xml:space="preserve">t will be nearly impossible to find enough number of consent patients to obtain a statistically meaningful clinical study data. </w:t>
      </w:r>
    </w:p>
    <w:p w14:paraId="71DAB314" w14:textId="727233A7" w:rsidR="00DA1C6D" w:rsidRPr="0005216E" w:rsidRDefault="00DA1C6D" w:rsidP="0005216E">
      <w:pPr>
        <w:pStyle w:val="ListParagraph"/>
        <w:numPr>
          <w:ilvl w:val="0"/>
          <w:numId w:val="44"/>
        </w:numPr>
        <w:shd w:val="clear" w:color="auto" w:fill="FFFFFF"/>
        <w:tabs>
          <w:tab w:val="clear" w:pos="720"/>
          <w:tab w:val="num" w:pos="90"/>
        </w:tabs>
        <w:spacing w:before="100" w:beforeAutospacing="1" w:after="100" w:afterAutospacing="1"/>
        <w:ind w:left="360"/>
        <w:rPr>
          <w:rFonts w:ascii="Arial" w:hAnsi="Arial" w:cs="Arial"/>
          <w:b/>
          <w:bCs/>
          <w:color w:val="2D3B45"/>
        </w:rPr>
      </w:pPr>
      <w:r w:rsidRPr="0005216E">
        <w:rPr>
          <w:rFonts w:ascii="Arial" w:hAnsi="Arial" w:cs="Arial"/>
          <w:b/>
          <w:bCs/>
          <w:color w:val="2D3B45"/>
        </w:rPr>
        <w:t>What types of technology or applications could be used to help inform providers about the emerging risks of medications they prescribe?</w:t>
      </w:r>
    </w:p>
    <w:p w14:paraId="187E8E7D" w14:textId="77777777" w:rsidR="002F0069" w:rsidRPr="00A23F73" w:rsidRDefault="002F0069" w:rsidP="002F0069">
      <w:pPr>
        <w:pStyle w:val="ListParagraph"/>
        <w:rPr>
          <w:rFonts w:ascii="Arial" w:hAnsi="Arial" w:cs="Arial"/>
          <w:b/>
          <w:bCs/>
          <w:color w:val="2D3B45"/>
        </w:rPr>
      </w:pPr>
    </w:p>
    <w:p w14:paraId="06BB1D1A" w14:textId="45BA424A" w:rsidR="00FD4AED" w:rsidRPr="00FD4AED" w:rsidRDefault="00FD4AED" w:rsidP="00FD4AED">
      <w:pPr>
        <w:shd w:val="clear" w:color="auto" w:fill="FFFFFF"/>
        <w:spacing w:before="100" w:beforeAutospacing="1" w:after="100" w:afterAutospacing="1"/>
        <w:ind w:left="375"/>
        <w:rPr>
          <w:rFonts w:ascii="Arial" w:hAnsi="Arial" w:cs="Arial"/>
          <w:color w:val="2D3B45"/>
        </w:rPr>
      </w:pPr>
      <w:r>
        <w:rPr>
          <w:rFonts w:ascii="Arial" w:hAnsi="Arial" w:cs="Arial"/>
          <w:color w:val="2D3B45"/>
        </w:rPr>
        <w:t>The above-mentioned barriers can be potentially solved using big data. Researchers have been discussing the possibility of replacing specifically designed RCT with big data generated from measurements upon the patient’s visits to clinics, and the treatments for them [</w:t>
      </w:r>
      <w:commentRangeStart w:id="8"/>
      <w:r>
        <w:rPr>
          <w:rFonts w:ascii="Arial" w:hAnsi="Arial" w:cs="Arial"/>
          <w:color w:val="2D3B45"/>
        </w:rPr>
        <w:t>ref</w:t>
      </w:r>
      <w:commentRangeEnd w:id="8"/>
      <w:r>
        <w:rPr>
          <w:rStyle w:val="CommentReference"/>
          <w:rFonts w:eastAsia="SimSun"/>
        </w:rPr>
        <w:commentReference w:id="8"/>
      </w:r>
      <w:r>
        <w:rPr>
          <w:rFonts w:ascii="Arial" w:hAnsi="Arial" w:cs="Arial"/>
          <w:color w:val="2D3B45"/>
        </w:rPr>
        <w:t xml:space="preserve">]. </w:t>
      </w:r>
    </w:p>
    <w:p w14:paraId="66D0A0E7" w14:textId="3897D3F8" w:rsidR="00110C83" w:rsidRPr="00A23F73" w:rsidRDefault="00FD4AED" w:rsidP="00110C83">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 xml:space="preserve">The essentials of applying big data in clinical trials is pattern recognizing. </w:t>
      </w:r>
      <w:r w:rsidR="002F0069" w:rsidRPr="00A23F73">
        <w:rPr>
          <w:rFonts w:ascii="Arial" w:hAnsi="Arial" w:cs="Arial"/>
          <w:bCs/>
          <w:color w:val="2D3B45"/>
        </w:rPr>
        <w:t xml:space="preserve">To determine that if </w:t>
      </w:r>
      <w:r w:rsidR="00110C83" w:rsidRPr="00A23F73">
        <w:rPr>
          <w:rFonts w:ascii="Arial" w:hAnsi="Arial" w:cs="Arial"/>
          <w:bCs/>
          <w:color w:val="2D3B45"/>
        </w:rPr>
        <w:t>any of the</w:t>
      </w:r>
      <w:r w:rsidR="002F0069" w:rsidRPr="00A23F73">
        <w:rPr>
          <w:rFonts w:ascii="Arial" w:hAnsi="Arial" w:cs="Arial"/>
          <w:bCs/>
          <w:color w:val="2D3B45"/>
        </w:rPr>
        <w:t xml:space="preserve"> medications prescribed</w:t>
      </w:r>
      <w:r w:rsidR="00110C83" w:rsidRPr="00A23F73">
        <w:rPr>
          <w:rFonts w:ascii="Arial" w:hAnsi="Arial" w:cs="Arial"/>
          <w:bCs/>
          <w:color w:val="2D3B45"/>
        </w:rPr>
        <w:t xml:space="preserve"> to the patients</w:t>
      </w:r>
      <w:r w:rsidR="002F0069" w:rsidRPr="00A23F73">
        <w:rPr>
          <w:rFonts w:ascii="Arial" w:hAnsi="Arial" w:cs="Arial"/>
          <w:bCs/>
          <w:color w:val="2D3B45"/>
        </w:rPr>
        <w:t xml:space="preserve"> c</w:t>
      </w:r>
      <w:bookmarkStart w:id="9" w:name="_GoBack"/>
      <w:bookmarkEnd w:id="9"/>
      <w:r w:rsidR="002F0069" w:rsidRPr="00A23F73">
        <w:rPr>
          <w:rFonts w:ascii="Arial" w:hAnsi="Arial" w:cs="Arial"/>
          <w:bCs/>
          <w:color w:val="2D3B45"/>
        </w:rPr>
        <w:t xml:space="preserve">ould be associated with health risks, </w:t>
      </w:r>
      <w:r w:rsidR="00110C83" w:rsidRPr="00A23F73">
        <w:rPr>
          <w:rFonts w:ascii="Arial" w:hAnsi="Arial" w:cs="Arial"/>
          <w:bCs/>
          <w:color w:val="2D3B45"/>
        </w:rPr>
        <w:t>we need to</w:t>
      </w:r>
      <w:r w:rsidR="002F0069" w:rsidRPr="00A23F73">
        <w:rPr>
          <w:rFonts w:ascii="Arial" w:hAnsi="Arial" w:cs="Arial"/>
          <w:bCs/>
          <w:color w:val="2D3B45"/>
        </w:rPr>
        <w:t xml:space="preserve"> recogniz</w:t>
      </w:r>
      <w:r w:rsidR="00110C83" w:rsidRPr="00A23F73">
        <w:rPr>
          <w:rFonts w:ascii="Arial" w:hAnsi="Arial" w:cs="Arial"/>
          <w:bCs/>
          <w:color w:val="2D3B45"/>
        </w:rPr>
        <w:t>e patterns</w:t>
      </w:r>
      <w:r w:rsidR="002F0069" w:rsidRPr="00A23F73">
        <w:rPr>
          <w:rFonts w:ascii="Arial" w:hAnsi="Arial" w:cs="Arial"/>
          <w:bCs/>
          <w:color w:val="2D3B45"/>
        </w:rPr>
        <w:t xml:space="preserve"> from the patent’s medication and health history. That is, </w:t>
      </w:r>
      <w:r w:rsidR="00110C83" w:rsidRPr="00A23F73">
        <w:rPr>
          <w:rFonts w:ascii="Arial" w:hAnsi="Arial" w:cs="Arial"/>
          <w:bCs/>
          <w:color w:val="2D3B45"/>
        </w:rPr>
        <w:t xml:space="preserve">data on all the medication and illness of the patient should be stored in a database. Based on the database, patterns on whether any given prescriptions </w:t>
      </w:r>
      <w:proofErr w:type="gramStart"/>
      <w:r w:rsidR="00110C83" w:rsidRPr="00A23F73">
        <w:rPr>
          <w:rFonts w:ascii="Arial" w:hAnsi="Arial" w:cs="Arial"/>
          <w:bCs/>
          <w:color w:val="2D3B45"/>
        </w:rPr>
        <w:t>is</w:t>
      </w:r>
      <w:proofErr w:type="gramEnd"/>
      <w:r w:rsidR="00110C83" w:rsidRPr="00A23F73">
        <w:rPr>
          <w:rFonts w:ascii="Arial" w:hAnsi="Arial" w:cs="Arial"/>
          <w:bCs/>
          <w:color w:val="2D3B45"/>
        </w:rPr>
        <w:t xml:space="preserve"> associated with health risks should be brought up for notice. However, this is not easy task, as the size of health care data tend to be large, and the number of patients is also large. Thus, big data with machine learning technology could be used to recognize patterns from such large database.</w:t>
      </w:r>
    </w:p>
    <w:p w14:paraId="6E14FB73" w14:textId="71D99EA7" w:rsidR="00DA1C6D" w:rsidRPr="00A23F73"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Do some research on either two privacy or medication solutions that are currently available and share them, with a brief description and a link with more details. </w:t>
      </w:r>
    </w:p>
    <w:p w14:paraId="44A860E2" w14:textId="77777777" w:rsidR="00DA1C6D" w:rsidRPr="00A23F73" w:rsidRDefault="00DA1C6D" w:rsidP="00DA1C6D">
      <w:pPr>
        <w:shd w:val="clear" w:color="auto" w:fill="FFFFFF"/>
        <w:spacing w:before="100" w:beforeAutospacing="1" w:after="100" w:afterAutospacing="1"/>
        <w:ind w:left="375"/>
        <w:rPr>
          <w:rFonts w:ascii="Arial" w:hAnsi="Arial" w:cs="Arial"/>
          <w:color w:val="2D3B45"/>
        </w:rPr>
      </w:pPr>
    </w:p>
    <w:p w14:paraId="677215FA" w14:textId="77777777" w:rsidR="00B550C7" w:rsidRPr="00A23F73" w:rsidRDefault="00B550C7" w:rsidP="00250870">
      <w:pPr>
        <w:spacing w:before="240" w:after="120"/>
        <w:rPr>
          <w:rFonts w:ascii="Arial" w:hAnsi="Arial" w:cs="Arial"/>
          <w:b/>
          <w:bCs/>
        </w:rPr>
      </w:pPr>
    </w:p>
    <w:p w14:paraId="43F7A761" w14:textId="12DE2458" w:rsidR="00B550C7" w:rsidRPr="00A23F73" w:rsidRDefault="00B550C7" w:rsidP="00250870">
      <w:pPr>
        <w:spacing w:before="240" w:after="120"/>
        <w:rPr>
          <w:rFonts w:ascii="Arial" w:hAnsi="Arial" w:cs="Arial"/>
          <w:b/>
          <w:bCs/>
        </w:rPr>
      </w:pPr>
    </w:p>
    <w:sectPr w:rsidR="00B550C7" w:rsidRPr="00A23F73" w:rsidSect="000F5DE6">
      <w:headerReference w:type="default" r:id="rId12"/>
      <w:footerReference w:type="default" r:id="rId13"/>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 Hui" w:date="2020-01-11T16:58:00Z" w:initials="XH">
    <w:p w14:paraId="71C1BE7B" w14:textId="77777777" w:rsidR="00C8711B" w:rsidRPr="00C8711B" w:rsidRDefault="00C8711B" w:rsidP="00C8711B">
      <w:r>
        <w:rPr>
          <w:rStyle w:val="CommentReference"/>
        </w:rPr>
        <w:annotationRef/>
      </w:r>
      <w:r w:rsidRPr="00C8711B">
        <w:rPr>
          <w:rFonts w:ascii="Arial" w:hAnsi="Arial" w:cs="Arial"/>
          <w:color w:val="222222"/>
          <w:sz w:val="20"/>
          <w:szCs w:val="20"/>
          <w:shd w:val="clear" w:color="auto" w:fill="FFFFFF"/>
        </w:rPr>
        <w:t>Findlay, S. (2015). </w:t>
      </w:r>
      <w:r w:rsidRPr="00C8711B">
        <w:rPr>
          <w:rFonts w:ascii="Arial" w:hAnsi="Arial" w:cs="Arial"/>
          <w:i/>
          <w:iCs/>
          <w:color w:val="222222"/>
          <w:sz w:val="20"/>
          <w:szCs w:val="20"/>
          <w:shd w:val="clear" w:color="auto" w:fill="FFFFFF"/>
        </w:rPr>
        <w:t>The FDA's Sentinel Initiative</w:t>
      </w:r>
      <w:r w:rsidRPr="00C8711B">
        <w:rPr>
          <w:rFonts w:ascii="Arial" w:hAnsi="Arial" w:cs="Arial"/>
          <w:color w:val="222222"/>
          <w:sz w:val="20"/>
          <w:szCs w:val="20"/>
          <w:shd w:val="clear" w:color="auto" w:fill="FFFFFF"/>
        </w:rPr>
        <w:t>. Project HOPE.</w:t>
      </w:r>
    </w:p>
    <w:p w14:paraId="30B5703E" w14:textId="77777777" w:rsidR="00C8711B" w:rsidRDefault="00C8711B" w:rsidP="00C8711B">
      <w:pPr>
        <w:pStyle w:val="CommentText"/>
      </w:pPr>
    </w:p>
  </w:comment>
  <w:comment w:id="1" w:author="Xia, Hui" w:date="2020-01-11T17:07:00Z" w:initials="XH">
    <w:p w14:paraId="49479E33" w14:textId="47EF484D" w:rsidR="00C8711B" w:rsidRDefault="00C8711B" w:rsidP="00C8711B">
      <w:pPr>
        <w:rPr>
          <w:rFonts w:ascii="Arial" w:hAnsi="Arial" w:cs="Arial"/>
          <w:color w:val="222222"/>
          <w:sz w:val="20"/>
          <w:szCs w:val="20"/>
          <w:shd w:val="clear" w:color="auto" w:fill="FFFFFF"/>
        </w:rPr>
      </w:pPr>
      <w:r>
        <w:rPr>
          <w:rStyle w:val="CommentReference"/>
        </w:rPr>
        <w:annotationRef/>
      </w:r>
      <w:r w:rsidRPr="00C8711B">
        <w:rPr>
          <w:rFonts w:ascii="Arial" w:hAnsi="Arial" w:cs="Arial"/>
          <w:color w:val="222222"/>
          <w:sz w:val="20"/>
          <w:szCs w:val="20"/>
          <w:shd w:val="clear" w:color="auto" w:fill="FFFFFF"/>
        </w:rPr>
        <w:t xml:space="preserve">Mukherjee, D., Nissen, S. E., &amp; </w:t>
      </w:r>
      <w:proofErr w:type="spellStart"/>
      <w:r w:rsidRPr="00C8711B">
        <w:rPr>
          <w:rFonts w:ascii="Arial" w:hAnsi="Arial" w:cs="Arial"/>
          <w:color w:val="222222"/>
          <w:sz w:val="20"/>
          <w:szCs w:val="20"/>
          <w:shd w:val="clear" w:color="auto" w:fill="FFFFFF"/>
        </w:rPr>
        <w:t>Topol</w:t>
      </w:r>
      <w:proofErr w:type="spellEnd"/>
      <w:r w:rsidRPr="00C8711B">
        <w:rPr>
          <w:rFonts w:ascii="Arial" w:hAnsi="Arial" w:cs="Arial"/>
          <w:color w:val="222222"/>
          <w:sz w:val="20"/>
          <w:szCs w:val="20"/>
          <w:shd w:val="clear" w:color="auto" w:fill="FFFFFF"/>
        </w:rPr>
        <w:t>, E. J. (2001). Risk of cardiovascular events associated with selective COX-2 inhibitors. </w:t>
      </w:r>
      <w:r w:rsidRPr="00C8711B">
        <w:rPr>
          <w:rFonts w:ascii="Arial" w:hAnsi="Arial" w:cs="Arial"/>
          <w:i/>
          <w:iCs/>
          <w:color w:val="222222"/>
          <w:sz w:val="20"/>
          <w:szCs w:val="20"/>
          <w:shd w:val="clear" w:color="auto" w:fill="FFFFFF"/>
        </w:rPr>
        <w:t>Jama</w:t>
      </w:r>
      <w:r w:rsidRPr="00C8711B">
        <w:rPr>
          <w:rFonts w:ascii="Arial" w:hAnsi="Arial" w:cs="Arial"/>
          <w:color w:val="222222"/>
          <w:sz w:val="20"/>
          <w:szCs w:val="20"/>
          <w:shd w:val="clear" w:color="auto" w:fill="FFFFFF"/>
        </w:rPr>
        <w:t>, </w:t>
      </w:r>
      <w:r w:rsidRPr="00C8711B">
        <w:rPr>
          <w:rFonts w:ascii="Arial" w:hAnsi="Arial" w:cs="Arial"/>
          <w:i/>
          <w:iCs/>
          <w:color w:val="222222"/>
          <w:sz w:val="20"/>
          <w:szCs w:val="20"/>
          <w:shd w:val="clear" w:color="auto" w:fill="FFFFFF"/>
        </w:rPr>
        <w:t>286</w:t>
      </w:r>
      <w:r w:rsidRPr="00C8711B">
        <w:rPr>
          <w:rFonts w:ascii="Arial" w:hAnsi="Arial" w:cs="Arial"/>
          <w:color w:val="222222"/>
          <w:sz w:val="20"/>
          <w:szCs w:val="20"/>
          <w:shd w:val="clear" w:color="auto" w:fill="FFFFFF"/>
        </w:rPr>
        <w:t>(8), 954-959.</w:t>
      </w:r>
    </w:p>
    <w:p w14:paraId="41B59601" w14:textId="77777777" w:rsidR="00C8711B" w:rsidRPr="00C8711B" w:rsidRDefault="00C8711B" w:rsidP="00C8711B"/>
    <w:p w14:paraId="7606967B" w14:textId="77777777" w:rsidR="00C8711B" w:rsidRPr="00C8711B" w:rsidRDefault="00C8711B" w:rsidP="00C8711B">
      <w:r w:rsidRPr="00C8711B">
        <w:rPr>
          <w:rFonts w:ascii="Arial" w:hAnsi="Arial" w:cs="Arial"/>
          <w:color w:val="222222"/>
          <w:sz w:val="20"/>
          <w:szCs w:val="20"/>
          <w:shd w:val="clear" w:color="auto" w:fill="FFFFFF"/>
        </w:rPr>
        <w:t>Ray, W. A., Stein, C. M., Daugherty, J. R., Hall, K., Arbogast, P. G., &amp; Griffin, M. R. (2002). COX-2 selective non-steroidal anti-inflammatory drugs and risk of serious coronary heart disease. </w:t>
      </w:r>
      <w:r w:rsidRPr="00C8711B">
        <w:rPr>
          <w:rFonts w:ascii="Arial" w:hAnsi="Arial" w:cs="Arial"/>
          <w:i/>
          <w:iCs/>
          <w:color w:val="222222"/>
          <w:sz w:val="20"/>
          <w:szCs w:val="20"/>
          <w:shd w:val="clear" w:color="auto" w:fill="FFFFFF"/>
        </w:rPr>
        <w:t>The Lancet</w:t>
      </w:r>
      <w:r w:rsidRPr="00C8711B">
        <w:rPr>
          <w:rFonts w:ascii="Arial" w:hAnsi="Arial" w:cs="Arial"/>
          <w:color w:val="222222"/>
          <w:sz w:val="20"/>
          <w:szCs w:val="20"/>
          <w:shd w:val="clear" w:color="auto" w:fill="FFFFFF"/>
        </w:rPr>
        <w:t>, </w:t>
      </w:r>
      <w:r w:rsidRPr="00C8711B">
        <w:rPr>
          <w:rFonts w:ascii="Arial" w:hAnsi="Arial" w:cs="Arial"/>
          <w:i/>
          <w:iCs/>
          <w:color w:val="222222"/>
          <w:sz w:val="20"/>
          <w:szCs w:val="20"/>
          <w:shd w:val="clear" w:color="auto" w:fill="FFFFFF"/>
        </w:rPr>
        <w:t>360</w:t>
      </w:r>
      <w:r w:rsidRPr="00C8711B">
        <w:rPr>
          <w:rFonts w:ascii="Arial" w:hAnsi="Arial" w:cs="Arial"/>
          <w:color w:val="222222"/>
          <w:sz w:val="20"/>
          <w:szCs w:val="20"/>
          <w:shd w:val="clear" w:color="auto" w:fill="FFFFFF"/>
        </w:rPr>
        <w:t>(9339), 1071-1073.</w:t>
      </w:r>
    </w:p>
    <w:p w14:paraId="3EE58AE4" w14:textId="5B8CEABC" w:rsidR="00C8711B" w:rsidRDefault="00C8711B">
      <w:pPr>
        <w:pStyle w:val="CommentText"/>
      </w:pPr>
    </w:p>
  </w:comment>
  <w:comment w:id="2" w:author="Xia, Hui" w:date="2020-01-11T17:03:00Z" w:initials="XH">
    <w:p w14:paraId="66D10C96" w14:textId="77777777" w:rsidR="00520E41" w:rsidRPr="00C8711B" w:rsidRDefault="00520E41" w:rsidP="00520E41">
      <w:r>
        <w:rPr>
          <w:rStyle w:val="CommentReference"/>
        </w:rPr>
        <w:annotationRef/>
      </w:r>
      <w:r w:rsidRPr="00C8711B">
        <w:rPr>
          <w:rFonts w:ascii="Arial" w:hAnsi="Arial" w:cs="Arial"/>
          <w:color w:val="222222"/>
          <w:sz w:val="20"/>
          <w:szCs w:val="20"/>
          <w:shd w:val="clear" w:color="auto" w:fill="FFFFFF"/>
        </w:rPr>
        <w:t>Martinez, B., Mathews, A. W., Lublin, J. S., &amp; Winslow, R. (2004). Merck pulls Vioxx from market after link to heart problems. </w:t>
      </w:r>
      <w:r w:rsidRPr="00C8711B">
        <w:rPr>
          <w:rFonts w:ascii="Arial" w:hAnsi="Arial" w:cs="Arial"/>
          <w:i/>
          <w:iCs/>
          <w:color w:val="222222"/>
          <w:sz w:val="20"/>
          <w:szCs w:val="20"/>
          <w:shd w:val="clear" w:color="auto" w:fill="FFFFFF"/>
        </w:rPr>
        <w:t>Wall Street Journal</w:t>
      </w:r>
      <w:r w:rsidRPr="00C8711B">
        <w:rPr>
          <w:rFonts w:ascii="Arial" w:hAnsi="Arial" w:cs="Arial"/>
          <w:color w:val="222222"/>
          <w:sz w:val="20"/>
          <w:szCs w:val="20"/>
          <w:shd w:val="clear" w:color="auto" w:fill="FFFFFF"/>
        </w:rPr>
        <w:t>, A1.</w:t>
      </w:r>
    </w:p>
    <w:p w14:paraId="7CDCC981" w14:textId="77777777" w:rsidR="00520E41" w:rsidRDefault="00520E41" w:rsidP="00520E41">
      <w:pPr>
        <w:pStyle w:val="CommentText"/>
      </w:pPr>
    </w:p>
  </w:comment>
  <w:comment w:id="3" w:author="Xia, Hui" w:date="2020-01-11T17:07:00Z" w:initials="XH">
    <w:p w14:paraId="561636FE" w14:textId="77777777" w:rsidR="000A2ACC" w:rsidRDefault="000A2ACC" w:rsidP="000A2ACC">
      <w:pPr>
        <w:rPr>
          <w:rFonts w:ascii="Arial" w:hAnsi="Arial" w:cs="Arial"/>
          <w:color w:val="222222"/>
          <w:sz w:val="20"/>
          <w:szCs w:val="20"/>
          <w:shd w:val="clear" w:color="auto" w:fill="FFFFFF"/>
        </w:rPr>
      </w:pPr>
      <w:r>
        <w:rPr>
          <w:rStyle w:val="CommentReference"/>
        </w:rPr>
        <w:annotationRef/>
      </w:r>
      <w:r w:rsidRPr="00C8711B">
        <w:rPr>
          <w:rFonts w:ascii="Arial" w:hAnsi="Arial" w:cs="Arial"/>
          <w:color w:val="222222"/>
          <w:sz w:val="20"/>
          <w:szCs w:val="20"/>
          <w:shd w:val="clear" w:color="auto" w:fill="FFFFFF"/>
        </w:rPr>
        <w:t xml:space="preserve">Mukherjee, D., Nissen, S. E., &amp; </w:t>
      </w:r>
      <w:proofErr w:type="spellStart"/>
      <w:r w:rsidRPr="00C8711B">
        <w:rPr>
          <w:rFonts w:ascii="Arial" w:hAnsi="Arial" w:cs="Arial"/>
          <w:color w:val="222222"/>
          <w:sz w:val="20"/>
          <w:szCs w:val="20"/>
          <w:shd w:val="clear" w:color="auto" w:fill="FFFFFF"/>
        </w:rPr>
        <w:t>Topol</w:t>
      </w:r>
      <w:proofErr w:type="spellEnd"/>
      <w:r w:rsidRPr="00C8711B">
        <w:rPr>
          <w:rFonts w:ascii="Arial" w:hAnsi="Arial" w:cs="Arial"/>
          <w:color w:val="222222"/>
          <w:sz w:val="20"/>
          <w:szCs w:val="20"/>
          <w:shd w:val="clear" w:color="auto" w:fill="FFFFFF"/>
        </w:rPr>
        <w:t>, E. J. (2001). Risk of cardiovascular events associated with selective COX-2 inhibitors. </w:t>
      </w:r>
      <w:r w:rsidRPr="00C8711B">
        <w:rPr>
          <w:rFonts w:ascii="Arial" w:hAnsi="Arial" w:cs="Arial"/>
          <w:i/>
          <w:iCs/>
          <w:color w:val="222222"/>
          <w:sz w:val="20"/>
          <w:szCs w:val="20"/>
          <w:shd w:val="clear" w:color="auto" w:fill="FFFFFF"/>
        </w:rPr>
        <w:t>Jama</w:t>
      </w:r>
      <w:r w:rsidRPr="00C8711B">
        <w:rPr>
          <w:rFonts w:ascii="Arial" w:hAnsi="Arial" w:cs="Arial"/>
          <w:color w:val="222222"/>
          <w:sz w:val="20"/>
          <w:szCs w:val="20"/>
          <w:shd w:val="clear" w:color="auto" w:fill="FFFFFF"/>
        </w:rPr>
        <w:t>, </w:t>
      </w:r>
      <w:r w:rsidRPr="00C8711B">
        <w:rPr>
          <w:rFonts w:ascii="Arial" w:hAnsi="Arial" w:cs="Arial"/>
          <w:i/>
          <w:iCs/>
          <w:color w:val="222222"/>
          <w:sz w:val="20"/>
          <w:szCs w:val="20"/>
          <w:shd w:val="clear" w:color="auto" w:fill="FFFFFF"/>
        </w:rPr>
        <w:t>286</w:t>
      </w:r>
      <w:r w:rsidRPr="00C8711B">
        <w:rPr>
          <w:rFonts w:ascii="Arial" w:hAnsi="Arial" w:cs="Arial"/>
          <w:color w:val="222222"/>
          <w:sz w:val="20"/>
          <w:szCs w:val="20"/>
          <w:shd w:val="clear" w:color="auto" w:fill="FFFFFF"/>
        </w:rPr>
        <w:t>(8), 954-959.</w:t>
      </w:r>
    </w:p>
    <w:p w14:paraId="2D488724" w14:textId="77777777" w:rsidR="000A2ACC" w:rsidRPr="00C8711B" w:rsidRDefault="000A2ACC" w:rsidP="000A2ACC"/>
    <w:p w14:paraId="527533E3" w14:textId="77777777" w:rsidR="000A2ACC" w:rsidRPr="00C8711B" w:rsidRDefault="000A2ACC" w:rsidP="000A2ACC">
      <w:r w:rsidRPr="00C8711B">
        <w:rPr>
          <w:rFonts w:ascii="Arial" w:hAnsi="Arial" w:cs="Arial"/>
          <w:color w:val="222222"/>
          <w:sz w:val="20"/>
          <w:szCs w:val="20"/>
          <w:shd w:val="clear" w:color="auto" w:fill="FFFFFF"/>
        </w:rPr>
        <w:t>Ray, W. A., Stein, C. M., Daugherty, J. R., Hall, K., Arbogast, P. G., &amp; Griffin, M. R. (2002). COX-2 selective non-steroidal anti-inflammatory drugs and risk of serious coronary heart disease. </w:t>
      </w:r>
      <w:r w:rsidRPr="00C8711B">
        <w:rPr>
          <w:rFonts w:ascii="Arial" w:hAnsi="Arial" w:cs="Arial"/>
          <w:i/>
          <w:iCs/>
          <w:color w:val="222222"/>
          <w:sz w:val="20"/>
          <w:szCs w:val="20"/>
          <w:shd w:val="clear" w:color="auto" w:fill="FFFFFF"/>
        </w:rPr>
        <w:t>The Lancet</w:t>
      </w:r>
      <w:r w:rsidRPr="00C8711B">
        <w:rPr>
          <w:rFonts w:ascii="Arial" w:hAnsi="Arial" w:cs="Arial"/>
          <w:color w:val="222222"/>
          <w:sz w:val="20"/>
          <w:szCs w:val="20"/>
          <w:shd w:val="clear" w:color="auto" w:fill="FFFFFF"/>
        </w:rPr>
        <w:t>, </w:t>
      </w:r>
      <w:r w:rsidRPr="00C8711B">
        <w:rPr>
          <w:rFonts w:ascii="Arial" w:hAnsi="Arial" w:cs="Arial"/>
          <w:i/>
          <w:iCs/>
          <w:color w:val="222222"/>
          <w:sz w:val="20"/>
          <w:szCs w:val="20"/>
          <w:shd w:val="clear" w:color="auto" w:fill="FFFFFF"/>
        </w:rPr>
        <w:t>360</w:t>
      </w:r>
      <w:r w:rsidRPr="00C8711B">
        <w:rPr>
          <w:rFonts w:ascii="Arial" w:hAnsi="Arial" w:cs="Arial"/>
          <w:color w:val="222222"/>
          <w:sz w:val="20"/>
          <w:szCs w:val="20"/>
          <w:shd w:val="clear" w:color="auto" w:fill="FFFFFF"/>
        </w:rPr>
        <w:t>(9339), 1071-1073.</w:t>
      </w:r>
    </w:p>
    <w:p w14:paraId="75547410" w14:textId="77777777" w:rsidR="000A2ACC" w:rsidRDefault="000A2ACC" w:rsidP="000A2ACC">
      <w:pPr>
        <w:pStyle w:val="CommentText"/>
      </w:pPr>
    </w:p>
  </w:comment>
  <w:comment w:id="4" w:author="Xia, Hui" w:date="2020-01-12T23:21:00Z" w:initials="XH">
    <w:p w14:paraId="03549633" w14:textId="77777777" w:rsidR="0005216E" w:rsidRPr="0005216E" w:rsidRDefault="0005216E" w:rsidP="0005216E">
      <w:r>
        <w:rPr>
          <w:rStyle w:val="CommentReference"/>
        </w:rPr>
        <w:annotationRef/>
      </w:r>
      <w:r w:rsidRPr="0005216E">
        <w:rPr>
          <w:rFonts w:ascii="Arial" w:hAnsi="Arial" w:cs="Arial"/>
          <w:color w:val="222222"/>
          <w:sz w:val="20"/>
          <w:szCs w:val="20"/>
          <w:shd w:val="clear" w:color="auto" w:fill="FFFFFF"/>
        </w:rPr>
        <w:t xml:space="preserve">Bombardier, C., Laine, L., </w:t>
      </w:r>
      <w:proofErr w:type="spellStart"/>
      <w:r w:rsidRPr="0005216E">
        <w:rPr>
          <w:rFonts w:ascii="Arial" w:hAnsi="Arial" w:cs="Arial"/>
          <w:color w:val="222222"/>
          <w:sz w:val="20"/>
          <w:szCs w:val="20"/>
          <w:shd w:val="clear" w:color="auto" w:fill="FFFFFF"/>
        </w:rPr>
        <w:t>Reicin</w:t>
      </w:r>
      <w:proofErr w:type="spellEnd"/>
      <w:r w:rsidRPr="0005216E">
        <w:rPr>
          <w:rFonts w:ascii="Arial" w:hAnsi="Arial" w:cs="Arial"/>
          <w:color w:val="222222"/>
          <w:sz w:val="20"/>
          <w:szCs w:val="20"/>
          <w:shd w:val="clear" w:color="auto" w:fill="FFFFFF"/>
        </w:rPr>
        <w:t xml:space="preserve">, A., Shapiro, D., Burgos-Vargas, R., Davis, B., ... &amp; </w:t>
      </w:r>
      <w:proofErr w:type="spellStart"/>
      <w:r w:rsidRPr="0005216E">
        <w:rPr>
          <w:rFonts w:ascii="Arial" w:hAnsi="Arial" w:cs="Arial"/>
          <w:color w:val="222222"/>
          <w:sz w:val="20"/>
          <w:szCs w:val="20"/>
          <w:shd w:val="clear" w:color="auto" w:fill="FFFFFF"/>
        </w:rPr>
        <w:t>Kvien</w:t>
      </w:r>
      <w:proofErr w:type="spellEnd"/>
      <w:r w:rsidRPr="0005216E">
        <w:rPr>
          <w:rFonts w:ascii="Arial" w:hAnsi="Arial" w:cs="Arial"/>
          <w:color w:val="222222"/>
          <w:sz w:val="20"/>
          <w:szCs w:val="20"/>
          <w:shd w:val="clear" w:color="auto" w:fill="FFFFFF"/>
        </w:rPr>
        <w:t xml:space="preserve">, T. K. (2000). Comparison of upper gastrointestinal toxicity of </w:t>
      </w:r>
      <w:proofErr w:type="spellStart"/>
      <w:r w:rsidRPr="0005216E">
        <w:rPr>
          <w:rFonts w:ascii="Arial" w:hAnsi="Arial" w:cs="Arial"/>
          <w:color w:val="222222"/>
          <w:sz w:val="20"/>
          <w:szCs w:val="20"/>
          <w:shd w:val="clear" w:color="auto" w:fill="FFFFFF"/>
        </w:rPr>
        <w:t>rofecoxib</w:t>
      </w:r>
      <w:proofErr w:type="spellEnd"/>
      <w:r w:rsidRPr="0005216E">
        <w:rPr>
          <w:rFonts w:ascii="Arial" w:hAnsi="Arial" w:cs="Arial"/>
          <w:color w:val="222222"/>
          <w:sz w:val="20"/>
          <w:szCs w:val="20"/>
          <w:shd w:val="clear" w:color="auto" w:fill="FFFFFF"/>
        </w:rPr>
        <w:t xml:space="preserve"> and naproxen in patients with rheumatoid arthritis. </w:t>
      </w:r>
      <w:r w:rsidRPr="0005216E">
        <w:rPr>
          <w:rFonts w:ascii="Arial" w:hAnsi="Arial" w:cs="Arial"/>
          <w:i/>
          <w:iCs/>
          <w:color w:val="222222"/>
          <w:sz w:val="20"/>
          <w:szCs w:val="20"/>
          <w:shd w:val="clear" w:color="auto" w:fill="FFFFFF"/>
        </w:rPr>
        <w:t>New England Journal of Medicine</w:t>
      </w:r>
      <w:r w:rsidRPr="0005216E">
        <w:rPr>
          <w:rFonts w:ascii="Arial" w:hAnsi="Arial" w:cs="Arial"/>
          <w:color w:val="222222"/>
          <w:sz w:val="20"/>
          <w:szCs w:val="20"/>
          <w:shd w:val="clear" w:color="auto" w:fill="FFFFFF"/>
        </w:rPr>
        <w:t>, </w:t>
      </w:r>
      <w:r w:rsidRPr="0005216E">
        <w:rPr>
          <w:rFonts w:ascii="Arial" w:hAnsi="Arial" w:cs="Arial"/>
          <w:i/>
          <w:iCs/>
          <w:color w:val="222222"/>
          <w:sz w:val="20"/>
          <w:szCs w:val="20"/>
          <w:shd w:val="clear" w:color="auto" w:fill="FFFFFF"/>
        </w:rPr>
        <w:t>343</w:t>
      </w:r>
      <w:r w:rsidRPr="0005216E">
        <w:rPr>
          <w:rFonts w:ascii="Arial" w:hAnsi="Arial" w:cs="Arial"/>
          <w:color w:val="222222"/>
          <w:sz w:val="20"/>
          <w:szCs w:val="20"/>
          <w:shd w:val="clear" w:color="auto" w:fill="FFFFFF"/>
        </w:rPr>
        <w:t>(21), 1520-1528.</w:t>
      </w:r>
    </w:p>
    <w:p w14:paraId="0615FD8F" w14:textId="5F12C657" w:rsidR="0005216E" w:rsidRDefault="0005216E">
      <w:pPr>
        <w:pStyle w:val="CommentText"/>
      </w:pPr>
    </w:p>
  </w:comment>
  <w:comment w:id="5" w:author="Xia, Hui" w:date="2020-01-12T23:21:00Z" w:initials="XH">
    <w:p w14:paraId="374CBC98" w14:textId="77777777" w:rsidR="00E27D84" w:rsidRPr="0005216E" w:rsidRDefault="00E27D84" w:rsidP="00E27D84">
      <w:r>
        <w:rPr>
          <w:rStyle w:val="CommentReference"/>
        </w:rPr>
        <w:annotationRef/>
      </w:r>
      <w:r w:rsidRPr="0005216E">
        <w:rPr>
          <w:rFonts w:ascii="Arial" w:hAnsi="Arial" w:cs="Arial"/>
          <w:color w:val="222222"/>
          <w:sz w:val="20"/>
          <w:szCs w:val="20"/>
          <w:shd w:val="clear" w:color="auto" w:fill="FFFFFF"/>
        </w:rPr>
        <w:t xml:space="preserve">Bombardier, C., Laine, L., </w:t>
      </w:r>
      <w:proofErr w:type="spellStart"/>
      <w:r w:rsidRPr="0005216E">
        <w:rPr>
          <w:rFonts w:ascii="Arial" w:hAnsi="Arial" w:cs="Arial"/>
          <w:color w:val="222222"/>
          <w:sz w:val="20"/>
          <w:szCs w:val="20"/>
          <w:shd w:val="clear" w:color="auto" w:fill="FFFFFF"/>
        </w:rPr>
        <w:t>Reicin</w:t>
      </w:r>
      <w:proofErr w:type="spellEnd"/>
      <w:r w:rsidRPr="0005216E">
        <w:rPr>
          <w:rFonts w:ascii="Arial" w:hAnsi="Arial" w:cs="Arial"/>
          <w:color w:val="222222"/>
          <w:sz w:val="20"/>
          <w:szCs w:val="20"/>
          <w:shd w:val="clear" w:color="auto" w:fill="FFFFFF"/>
        </w:rPr>
        <w:t xml:space="preserve">, A., Shapiro, D., Burgos-Vargas, R., Davis, B., ... &amp; </w:t>
      </w:r>
      <w:proofErr w:type="spellStart"/>
      <w:r w:rsidRPr="0005216E">
        <w:rPr>
          <w:rFonts w:ascii="Arial" w:hAnsi="Arial" w:cs="Arial"/>
          <w:color w:val="222222"/>
          <w:sz w:val="20"/>
          <w:szCs w:val="20"/>
          <w:shd w:val="clear" w:color="auto" w:fill="FFFFFF"/>
        </w:rPr>
        <w:t>Kvien</w:t>
      </w:r>
      <w:proofErr w:type="spellEnd"/>
      <w:r w:rsidRPr="0005216E">
        <w:rPr>
          <w:rFonts w:ascii="Arial" w:hAnsi="Arial" w:cs="Arial"/>
          <w:color w:val="222222"/>
          <w:sz w:val="20"/>
          <w:szCs w:val="20"/>
          <w:shd w:val="clear" w:color="auto" w:fill="FFFFFF"/>
        </w:rPr>
        <w:t xml:space="preserve">, T. K. (2000). Comparison of upper gastrointestinal toxicity of </w:t>
      </w:r>
      <w:proofErr w:type="spellStart"/>
      <w:r w:rsidRPr="0005216E">
        <w:rPr>
          <w:rFonts w:ascii="Arial" w:hAnsi="Arial" w:cs="Arial"/>
          <w:color w:val="222222"/>
          <w:sz w:val="20"/>
          <w:szCs w:val="20"/>
          <w:shd w:val="clear" w:color="auto" w:fill="FFFFFF"/>
        </w:rPr>
        <w:t>rofecoxib</w:t>
      </w:r>
      <w:proofErr w:type="spellEnd"/>
      <w:r w:rsidRPr="0005216E">
        <w:rPr>
          <w:rFonts w:ascii="Arial" w:hAnsi="Arial" w:cs="Arial"/>
          <w:color w:val="222222"/>
          <w:sz w:val="20"/>
          <w:szCs w:val="20"/>
          <w:shd w:val="clear" w:color="auto" w:fill="FFFFFF"/>
        </w:rPr>
        <w:t xml:space="preserve"> and naproxen in patients with rheumatoid arthritis. </w:t>
      </w:r>
      <w:r w:rsidRPr="0005216E">
        <w:rPr>
          <w:rFonts w:ascii="Arial" w:hAnsi="Arial" w:cs="Arial"/>
          <w:i/>
          <w:iCs/>
          <w:color w:val="222222"/>
          <w:sz w:val="20"/>
          <w:szCs w:val="20"/>
          <w:shd w:val="clear" w:color="auto" w:fill="FFFFFF"/>
        </w:rPr>
        <w:t>New England Journal of Medicine</w:t>
      </w:r>
      <w:r w:rsidRPr="0005216E">
        <w:rPr>
          <w:rFonts w:ascii="Arial" w:hAnsi="Arial" w:cs="Arial"/>
          <w:color w:val="222222"/>
          <w:sz w:val="20"/>
          <w:szCs w:val="20"/>
          <w:shd w:val="clear" w:color="auto" w:fill="FFFFFF"/>
        </w:rPr>
        <w:t>, </w:t>
      </w:r>
      <w:r w:rsidRPr="0005216E">
        <w:rPr>
          <w:rFonts w:ascii="Arial" w:hAnsi="Arial" w:cs="Arial"/>
          <w:i/>
          <w:iCs/>
          <w:color w:val="222222"/>
          <w:sz w:val="20"/>
          <w:szCs w:val="20"/>
          <w:shd w:val="clear" w:color="auto" w:fill="FFFFFF"/>
        </w:rPr>
        <w:t>343</w:t>
      </w:r>
      <w:r w:rsidRPr="0005216E">
        <w:rPr>
          <w:rFonts w:ascii="Arial" w:hAnsi="Arial" w:cs="Arial"/>
          <w:color w:val="222222"/>
          <w:sz w:val="20"/>
          <w:szCs w:val="20"/>
          <w:shd w:val="clear" w:color="auto" w:fill="FFFFFF"/>
        </w:rPr>
        <w:t>(21), 1520-1528.</w:t>
      </w:r>
    </w:p>
    <w:p w14:paraId="15EBECE9" w14:textId="77777777" w:rsidR="00E27D84" w:rsidRDefault="00E27D84" w:rsidP="00E27D84">
      <w:pPr>
        <w:pStyle w:val="CommentText"/>
      </w:pPr>
    </w:p>
  </w:comment>
  <w:comment w:id="6" w:author="Xia, Hui" w:date="2020-01-13T00:55:00Z" w:initials="XH">
    <w:p w14:paraId="507483DC" w14:textId="384E2CC0" w:rsidR="001E3A9A" w:rsidRDefault="001E3A9A">
      <w:pPr>
        <w:pStyle w:val="CommentText"/>
      </w:pPr>
      <w:r>
        <w:rPr>
          <w:rStyle w:val="CommentReference"/>
        </w:rPr>
        <w:annotationRef/>
      </w:r>
      <w:r w:rsidRPr="0005216E">
        <w:rPr>
          <w:rFonts w:ascii="Arial" w:hAnsi="Arial" w:cs="Arial"/>
          <w:color w:val="222222"/>
          <w:shd w:val="clear" w:color="auto" w:fill="FFFFFF"/>
        </w:rPr>
        <w:t xml:space="preserve">Bombardier, C., Laine, L., </w:t>
      </w:r>
      <w:proofErr w:type="spellStart"/>
      <w:r w:rsidRPr="0005216E">
        <w:rPr>
          <w:rFonts w:ascii="Arial" w:hAnsi="Arial" w:cs="Arial"/>
          <w:color w:val="222222"/>
          <w:shd w:val="clear" w:color="auto" w:fill="FFFFFF"/>
        </w:rPr>
        <w:t>Reicin</w:t>
      </w:r>
      <w:proofErr w:type="spellEnd"/>
      <w:r w:rsidRPr="0005216E">
        <w:rPr>
          <w:rFonts w:ascii="Arial" w:hAnsi="Arial" w:cs="Arial"/>
          <w:color w:val="222222"/>
          <w:shd w:val="clear" w:color="auto" w:fill="FFFFFF"/>
        </w:rPr>
        <w:t xml:space="preserve">, A., Shapiro, D., Burgos-Vargas, R., Davis, B., ... &amp; </w:t>
      </w:r>
      <w:proofErr w:type="spellStart"/>
      <w:r w:rsidRPr="0005216E">
        <w:rPr>
          <w:rFonts w:ascii="Arial" w:hAnsi="Arial" w:cs="Arial"/>
          <w:color w:val="222222"/>
          <w:shd w:val="clear" w:color="auto" w:fill="FFFFFF"/>
        </w:rPr>
        <w:t>Kvien</w:t>
      </w:r>
      <w:proofErr w:type="spellEnd"/>
      <w:r w:rsidRPr="0005216E">
        <w:rPr>
          <w:rFonts w:ascii="Arial" w:hAnsi="Arial" w:cs="Arial"/>
          <w:color w:val="222222"/>
          <w:shd w:val="clear" w:color="auto" w:fill="FFFFFF"/>
        </w:rPr>
        <w:t xml:space="preserve">, T. K. (2000). Comparison of upper gastrointestinal toxicity of </w:t>
      </w:r>
      <w:proofErr w:type="spellStart"/>
      <w:r w:rsidRPr="0005216E">
        <w:rPr>
          <w:rFonts w:ascii="Arial" w:hAnsi="Arial" w:cs="Arial"/>
          <w:color w:val="222222"/>
          <w:shd w:val="clear" w:color="auto" w:fill="FFFFFF"/>
        </w:rPr>
        <w:t>rofecoxib</w:t>
      </w:r>
      <w:proofErr w:type="spellEnd"/>
      <w:r w:rsidRPr="0005216E">
        <w:rPr>
          <w:rFonts w:ascii="Arial" w:hAnsi="Arial" w:cs="Arial"/>
          <w:color w:val="222222"/>
          <w:shd w:val="clear" w:color="auto" w:fill="FFFFFF"/>
        </w:rPr>
        <w:t xml:space="preserve"> and naproxen in patients with rheumatoid arthritis. </w:t>
      </w:r>
      <w:r w:rsidRPr="0005216E">
        <w:rPr>
          <w:rFonts w:ascii="Arial" w:hAnsi="Arial" w:cs="Arial"/>
          <w:i/>
          <w:iCs/>
          <w:color w:val="222222"/>
          <w:shd w:val="clear" w:color="auto" w:fill="FFFFFF"/>
        </w:rPr>
        <w:t>New England Journal of Medicine</w:t>
      </w:r>
      <w:r w:rsidRPr="0005216E">
        <w:rPr>
          <w:rFonts w:ascii="Arial" w:hAnsi="Arial" w:cs="Arial"/>
          <w:color w:val="222222"/>
          <w:shd w:val="clear" w:color="auto" w:fill="FFFFFF"/>
        </w:rPr>
        <w:t>, </w:t>
      </w:r>
      <w:r w:rsidRPr="0005216E">
        <w:rPr>
          <w:rFonts w:ascii="Arial" w:hAnsi="Arial" w:cs="Arial"/>
          <w:i/>
          <w:iCs/>
          <w:color w:val="222222"/>
          <w:shd w:val="clear" w:color="auto" w:fill="FFFFFF"/>
        </w:rPr>
        <w:t>343</w:t>
      </w:r>
      <w:r w:rsidRPr="0005216E">
        <w:rPr>
          <w:rFonts w:ascii="Arial" w:hAnsi="Arial" w:cs="Arial"/>
          <w:color w:val="222222"/>
          <w:shd w:val="clear" w:color="auto" w:fill="FFFFFF"/>
        </w:rPr>
        <w:t>(21), 1520-1528.</w:t>
      </w:r>
    </w:p>
  </w:comment>
  <w:comment w:id="7" w:author="Xia, Hui" w:date="2020-01-12T23:32:00Z" w:initials="XH">
    <w:p w14:paraId="65199869" w14:textId="127AB83E" w:rsidR="00EA5545" w:rsidRDefault="00EA5545" w:rsidP="00EA5545">
      <w:r>
        <w:rPr>
          <w:rStyle w:val="CommentReference"/>
        </w:rPr>
        <w:annotationRef/>
      </w:r>
      <w:hyperlink r:id="rId1" w:history="1">
        <w:r>
          <w:rPr>
            <w:rStyle w:val="Hyperlink"/>
          </w:rPr>
          <w:t>https://pin</w:t>
        </w:r>
        <w:r>
          <w:rPr>
            <w:rStyle w:val="Hyperlink"/>
          </w:rPr>
          <w:t>k</w:t>
        </w:r>
        <w:r>
          <w:rPr>
            <w:rStyle w:val="Hyperlink"/>
          </w:rPr>
          <w:t>.pharmaintelligenc</w:t>
        </w:r>
        <w:r>
          <w:rPr>
            <w:rStyle w:val="Hyperlink"/>
          </w:rPr>
          <w:t>e</w:t>
        </w:r>
        <w:r>
          <w:rPr>
            <w:rStyle w:val="Hyperlink"/>
          </w:rPr>
          <w:t>.informa.com/PS036997/Vioxx-price-increase</w:t>
        </w:r>
      </w:hyperlink>
    </w:p>
    <w:p w14:paraId="08FAE164" w14:textId="1BA57C04" w:rsidR="001E3A9A" w:rsidRDefault="001E3A9A" w:rsidP="00EA5545"/>
    <w:p w14:paraId="36937241" w14:textId="77777777" w:rsidR="001E3A9A" w:rsidRDefault="001E3A9A" w:rsidP="00EA5545"/>
    <w:p w14:paraId="4848145A" w14:textId="21F8E750" w:rsidR="00EA5545" w:rsidRDefault="00EA5545">
      <w:pPr>
        <w:pStyle w:val="CommentText"/>
      </w:pPr>
    </w:p>
  </w:comment>
  <w:comment w:id="8" w:author="Xia, Hui" w:date="2020-01-13T01:05:00Z" w:initials="XH">
    <w:p w14:paraId="7500A496" w14:textId="77777777" w:rsidR="00FD4AED" w:rsidRDefault="00FD4AED" w:rsidP="00FD4AED">
      <w:pPr>
        <w:rPr>
          <w:rFonts w:ascii="Arial" w:hAnsi="Arial" w:cs="Arial"/>
          <w:color w:val="222222"/>
          <w:sz w:val="20"/>
          <w:szCs w:val="20"/>
          <w:shd w:val="clear" w:color="auto" w:fill="FFFFFF"/>
        </w:rPr>
      </w:pPr>
      <w:r>
        <w:rPr>
          <w:rStyle w:val="CommentReference"/>
        </w:rPr>
        <w:annotationRef/>
      </w:r>
      <w:proofErr w:type="spellStart"/>
      <w:r>
        <w:rPr>
          <w:rFonts w:ascii="Arial" w:hAnsi="Arial" w:cs="Arial"/>
          <w:color w:val="222222"/>
          <w:sz w:val="20"/>
          <w:szCs w:val="20"/>
          <w:shd w:val="clear" w:color="auto" w:fill="FFFFFF"/>
        </w:rPr>
        <w:t>Hernán</w:t>
      </w:r>
      <w:proofErr w:type="spellEnd"/>
      <w:r>
        <w:rPr>
          <w:rFonts w:ascii="Arial" w:hAnsi="Arial" w:cs="Arial"/>
          <w:color w:val="222222"/>
          <w:sz w:val="20"/>
          <w:szCs w:val="20"/>
          <w:shd w:val="clear" w:color="auto" w:fill="FFFFFF"/>
        </w:rPr>
        <w:t>, M. A., &amp; Robins, J. M. (2016). Using big data to emulate a target trial when a randomized trial is not available. </w:t>
      </w:r>
      <w:r>
        <w:rPr>
          <w:rFonts w:ascii="Arial" w:hAnsi="Arial" w:cs="Arial"/>
          <w:i/>
          <w:iCs/>
          <w:color w:val="222222"/>
          <w:sz w:val="20"/>
          <w:szCs w:val="20"/>
          <w:shd w:val="clear" w:color="auto" w:fill="FFFFFF"/>
        </w:rPr>
        <w:t>American journal of 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183</w:t>
      </w:r>
      <w:r>
        <w:rPr>
          <w:rFonts w:ascii="Arial" w:hAnsi="Arial" w:cs="Arial"/>
          <w:color w:val="222222"/>
          <w:sz w:val="20"/>
          <w:szCs w:val="20"/>
          <w:shd w:val="clear" w:color="auto" w:fill="FFFFFF"/>
        </w:rPr>
        <w:t>(8), 758-764.</w:t>
      </w:r>
    </w:p>
    <w:p w14:paraId="34B7119E" w14:textId="77777777" w:rsidR="00FD4AED" w:rsidRDefault="00FD4AED" w:rsidP="00FD4AED">
      <w:pPr>
        <w:rPr>
          <w:rFonts w:ascii="Arial" w:hAnsi="Arial" w:cs="Arial"/>
          <w:color w:val="222222"/>
          <w:sz w:val="20"/>
          <w:szCs w:val="20"/>
          <w:shd w:val="clear" w:color="auto" w:fill="FFFFFF"/>
        </w:rPr>
      </w:pPr>
    </w:p>
    <w:p w14:paraId="6E2BAF71" w14:textId="77777777" w:rsidR="00FD4AED" w:rsidRDefault="00FD4AED" w:rsidP="00FD4AE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Raghupathi</w:t>
      </w:r>
      <w:proofErr w:type="spellEnd"/>
      <w:r>
        <w:rPr>
          <w:rFonts w:ascii="Arial" w:hAnsi="Arial" w:cs="Arial"/>
          <w:color w:val="222222"/>
          <w:sz w:val="20"/>
          <w:szCs w:val="20"/>
          <w:shd w:val="clear" w:color="auto" w:fill="FFFFFF"/>
        </w:rPr>
        <w:t xml:space="preserve">, W., &amp; </w:t>
      </w:r>
      <w:proofErr w:type="spellStart"/>
      <w:r>
        <w:rPr>
          <w:rFonts w:ascii="Arial" w:hAnsi="Arial" w:cs="Arial"/>
          <w:color w:val="222222"/>
          <w:sz w:val="20"/>
          <w:szCs w:val="20"/>
          <w:shd w:val="clear" w:color="auto" w:fill="FFFFFF"/>
        </w:rPr>
        <w:t>Raghupathi</w:t>
      </w:r>
      <w:proofErr w:type="spellEnd"/>
      <w:r>
        <w:rPr>
          <w:rFonts w:ascii="Arial" w:hAnsi="Arial" w:cs="Arial"/>
          <w:color w:val="222222"/>
          <w:sz w:val="20"/>
          <w:szCs w:val="20"/>
          <w:shd w:val="clear" w:color="auto" w:fill="FFFFFF"/>
        </w:rPr>
        <w:t>, V. (2014). Big data analytics in healthcare: promise and potential. </w:t>
      </w:r>
      <w:r>
        <w:rPr>
          <w:rFonts w:ascii="Arial" w:hAnsi="Arial" w:cs="Arial"/>
          <w:i/>
          <w:iCs/>
          <w:color w:val="222222"/>
          <w:sz w:val="20"/>
          <w:szCs w:val="20"/>
          <w:shd w:val="clear" w:color="auto" w:fill="FFFFFF"/>
        </w:rPr>
        <w:t>Health information science and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3.</w:t>
      </w:r>
    </w:p>
    <w:p w14:paraId="1CF6621D" w14:textId="77777777" w:rsidR="00FD4AED" w:rsidRDefault="00FD4AED" w:rsidP="00FD4AED">
      <w:pPr>
        <w:rPr>
          <w:rFonts w:ascii="Arial" w:hAnsi="Arial" w:cs="Arial"/>
          <w:color w:val="222222"/>
          <w:sz w:val="20"/>
          <w:szCs w:val="20"/>
          <w:shd w:val="clear" w:color="auto" w:fill="FFFFFF"/>
        </w:rPr>
      </w:pPr>
    </w:p>
    <w:p w14:paraId="331EA0EB" w14:textId="77777777" w:rsidR="00FD4AED" w:rsidRDefault="00FD4AED" w:rsidP="00FD4AED">
      <w:r>
        <w:rPr>
          <w:rFonts w:ascii="Arial" w:hAnsi="Arial" w:cs="Arial"/>
          <w:color w:val="222222"/>
          <w:sz w:val="20"/>
          <w:szCs w:val="20"/>
          <w:shd w:val="clear" w:color="auto" w:fill="FFFFFF"/>
        </w:rPr>
        <w:t>Wang, S. D. (2013). Opportunities and challenges of clinical research in the big-data era: from RCT to BCT. </w:t>
      </w:r>
      <w:r>
        <w:rPr>
          <w:rFonts w:ascii="Arial" w:hAnsi="Arial" w:cs="Arial"/>
          <w:i/>
          <w:iCs/>
          <w:color w:val="222222"/>
          <w:sz w:val="20"/>
          <w:szCs w:val="20"/>
          <w:shd w:val="clear" w:color="auto" w:fill="FFFFFF"/>
        </w:rPr>
        <w:t>Journal of thoracic disease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(6), 721.</w:t>
      </w:r>
    </w:p>
    <w:p w14:paraId="39101B8E" w14:textId="77777777" w:rsidR="00FD4AED" w:rsidRDefault="00FD4AED" w:rsidP="00FD4AED"/>
    <w:p w14:paraId="39FDFBAA" w14:textId="77777777" w:rsidR="00FD4AED" w:rsidRDefault="00FD4AED" w:rsidP="00FD4AED"/>
    <w:p w14:paraId="5FAC83DE" w14:textId="77777777" w:rsidR="00FD4AED" w:rsidRDefault="00FD4AED" w:rsidP="00FD4AE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B5703E" w15:done="0"/>
  <w15:commentEx w15:paraId="3EE58AE4" w15:done="0"/>
  <w15:commentEx w15:paraId="7CDCC981" w15:done="0"/>
  <w15:commentEx w15:paraId="75547410" w15:done="0"/>
  <w15:commentEx w15:paraId="0615FD8F" w15:done="0"/>
  <w15:commentEx w15:paraId="15EBECE9" w15:done="0"/>
  <w15:commentEx w15:paraId="507483DC" w15:done="0"/>
  <w15:commentEx w15:paraId="4848145A" w15:done="0"/>
  <w15:commentEx w15:paraId="5FAC83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5703E" w16cid:durableId="21C47D20"/>
  <w16cid:commentId w16cid:paraId="3EE58AE4" w16cid:durableId="21C47F3C"/>
  <w16cid:commentId w16cid:paraId="7CDCC981" w16cid:durableId="21C47E64"/>
  <w16cid:commentId w16cid:paraId="75547410" w16cid:durableId="21C607EE"/>
  <w16cid:commentId w16cid:paraId="0615FD8F" w16cid:durableId="21C6286A"/>
  <w16cid:commentId w16cid:paraId="15EBECE9" w16cid:durableId="21C629D1"/>
  <w16cid:commentId w16cid:paraId="507483DC" w16cid:durableId="21C63E9C"/>
  <w16cid:commentId w16cid:paraId="4848145A" w16cid:durableId="21C62B1F"/>
  <w16cid:commentId w16cid:paraId="5FAC83DE" w16cid:durableId="21C640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9AAC1" w14:textId="77777777" w:rsidR="00624DD2" w:rsidRDefault="00624DD2" w:rsidP="008166B3">
      <w:r>
        <w:separator/>
      </w:r>
    </w:p>
  </w:endnote>
  <w:endnote w:type="continuationSeparator" w:id="0">
    <w:p w14:paraId="7E36141B" w14:textId="77777777" w:rsidR="00624DD2" w:rsidRDefault="00624DD2"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82B66" w14:textId="77777777" w:rsidR="00624DD2" w:rsidRDefault="00624DD2" w:rsidP="008166B3">
      <w:r>
        <w:separator/>
      </w:r>
    </w:p>
  </w:footnote>
  <w:footnote w:type="continuationSeparator" w:id="0">
    <w:p w14:paraId="6D6FECFB" w14:textId="77777777" w:rsidR="00624DD2" w:rsidRDefault="00624DD2"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624DD2">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BF09E9"/>
    <w:multiLevelType w:val="hybridMultilevel"/>
    <w:tmpl w:val="FC84159C"/>
    <w:lvl w:ilvl="0" w:tplc="3CA29FA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456A6C"/>
    <w:multiLevelType w:val="multilevel"/>
    <w:tmpl w:val="0A3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29"/>
  </w:num>
  <w:num w:numId="4">
    <w:abstractNumId w:val="16"/>
  </w:num>
  <w:num w:numId="5">
    <w:abstractNumId w:val="31"/>
  </w:num>
  <w:num w:numId="6">
    <w:abstractNumId w:val="4"/>
  </w:num>
  <w:num w:numId="7">
    <w:abstractNumId w:val="21"/>
  </w:num>
  <w:num w:numId="8">
    <w:abstractNumId w:val="11"/>
  </w:num>
  <w:num w:numId="9">
    <w:abstractNumId w:val="23"/>
  </w:num>
  <w:num w:numId="10">
    <w:abstractNumId w:val="6"/>
  </w:num>
  <w:num w:numId="11">
    <w:abstractNumId w:val="43"/>
  </w:num>
  <w:num w:numId="12">
    <w:abstractNumId w:val="17"/>
  </w:num>
  <w:num w:numId="13">
    <w:abstractNumId w:val="42"/>
  </w:num>
  <w:num w:numId="14">
    <w:abstractNumId w:val="19"/>
  </w:num>
  <w:num w:numId="15">
    <w:abstractNumId w:val="2"/>
  </w:num>
  <w:num w:numId="16">
    <w:abstractNumId w:val="5"/>
  </w:num>
  <w:num w:numId="17">
    <w:abstractNumId w:val="10"/>
  </w:num>
  <w:num w:numId="18">
    <w:abstractNumId w:val="15"/>
  </w:num>
  <w:num w:numId="19">
    <w:abstractNumId w:val="20"/>
  </w:num>
  <w:num w:numId="20">
    <w:abstractNumId w:val="25"/>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3"/>
  </w:num>
  <w:num w:numId="34">
    <w:abstractNumId w:val="18"/>
  </w:num>
  <w:num w:numId="35">
    <w:abstractNumId w:val="3"/>
  </w:num>
  <w:num w:numId="36">
    <w:abstractNumId w:val="24"/>
  </w:num>
  <w:num w:numId="37">
    <w:abstractNumId w:val="7"/>
  </w:num>
  <w:num w:numId="38">
    <w:abstractNumId w:val="9"/>
  </w:num>
  <w:num w:numId="39">
    <w:abstractNumId w:val="40"/>
  </w:num>
  <w:num w:numId="40">
    <w:abstractNumId w:val="14"/>
  </w:num>
  <w:num w:numId="41">
    <w:abstractNumId w:val="12"/>
  </w:num>
  <w:num w:numId="42">
    <w:abstractNumId w:val="8"/>
  </w:num>
  <w:num w:numId="43">
    <w:abstractNumId w:val="0"/>
  </w:num>
  <w:num w:numId="44">
    <w:abstractNumId w:val="26"/>
  </w:num>
  <w:num w:numId="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 Hui">
    <w15:presenceInfo w15:providerId="AD" w15:userId="S::hxia3@cougarnet.uh.edu::83674fe0-1085-411e-b94a-9b273cfd9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D5B"/>
    <w:rsid w:val="003B03E6"/>
    <w:rsid w:val="003B6E0F"/>
    <w:rsid w:val="003C4653"/>
    <w:rsid w:val="003C7C2A"/>
    <w:rsid w:val="003D14B4"/>
    <w:rsid w:val="003D6831"/>
    <w:rsid w:val="003E0785"/>
    <w:rsid w:val="003E3274"/>
    <w:rsid w:val="003E7F18"/>
    <w:rsid w:val="003F0B50"/>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2304"/>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298A"/>
    <w:rsid w:val="0072221D"/>
    <w:rsid w:val="007229ED"/>
    <w:rsid w:val="00722A34"/>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24394"/>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79D8"/>
    <w:rsid w:val="00B91D4E"/>
    <w:rsid w:val="00BA5BA0"/>
    <w:rsid w:val="00BA68D7"/>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42EC"/>
    <w:rsid w:val="00C64500"/>
    <w:rsid w:val="00C6533A"/>
    <w:rsid w:val="00C662B1"/>
    <w:rsid w:val="00C7078F"/>
    <w:rsid w:val="00C73D68"/>
    <w:rsid w:val="00C759A0"/>
    <w:rsid w:val="00C76C22"/>
    <w:rsid w:val="00C7784D"/>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pink.pharmaintelligence.informa.com/PS036997/Vioxx-price-increas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15</cp:revision>
  <cp:lastPrinted>2019-01-18T04:30:00Z</cp:lastPrinted>
  <dcterms:created xsi:type="dcterms:W3CDTF">2019-01-18T04:30:00Z</dcterms:created>
  <dcterms:modified xsi:type="dcterms:W3CDTF">2020-01-13T07:08:00Z</dcterms:modified>
  <cp:category/>
</cp:coreProperties>
</file>