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F43CD" w14:textId="2B2B87A4" w:rsidR="00FF7B33" w:rsidRPr="00951C77" w:rsidRDefault="00345542" w:rsidP="00951C77">
      <w:pPr>
        <w:pStyle w:val="Title"/>
      </w:pPr>
      <w:bookmarkStart w:id="0" w:name="_GoBack"/>
      <w:bookmarkEnd w:id="0"/>
      <w:r w:rsidRPr="00345542">
        <w:t>Deliverable 1 – Health Analytics Project Proposal</w:t>
      </w:r>
    </w:p>
    <w:p w14:paraId="5F871ED8" w14:textId="15EC90F2" w:rsidR="00FF7B33" w:rsidRPr="00FF7B33" w:rsidRDefault="00345542" w:rsidP="00126D77">
      <w:pPr>
        <w:pStyle w:val="Subtitle"/>
      </w:pPr>
      <w:r>
        <w:t>Hui Xia</w:t>
      </w:r>
      <w:r w:rsidR="00FF7B33">
        <w:br/>
      </w:r>
      <w:r>
        <w:t>hxia40</w:t>
      </w:r>
      <w:r w:rsidR="00FF7B33" w:rsidRPr="00FF7B33">
        <w:t>@</w:t>
      </w:r>
      <w:r w:rsidR="00FD25E7">
        <w:t>gatech.edu</w:t>
      </w:r>
    </w:p>
    <w:p w14:paraId="2F883F6C" w14:textId="2775859A" w:rsidR="00345542" w:rsidRDefault="00345542" w:rsidP="00345542">
      <w:pPr>
        <w:pStyle w:val="Abstract"/>
        <w:jc w:val="center"/>
      </w:pPr>
      <w:r>
        <w:t>CS-6440 – Introduction to Health Informatics</w:t>
      </w:r>
    </w:p>
    <w:p w14:paraId="18F5F1C5" w14:textId="77777777" w:rsidR="00345542" w:rsidRDefault="00345542" w:rsidP="00345542">
      <w:pPr>
        <w:pStyle w:val="Abstract"/>
        <w:jc w:val="center"/>
      </w:pPr>
      <w:r>
        <w:t>Georgia Institute of Technology</w:t>
      </w:r>
    </w:p>
    <w:p w14:paraId="2186EF48" w14:textId="5366FD70" w:rsidR="00784B78" w:rsidRPr="00723246" w:rsidRDefault="00345542" w:rsidP="00345542">
      <w:pPr>
        <w:pStyle w:val="Abstract"/>
        <w:jc w:val="center"/>
      </w:pPr>
      <w:r>
        <w:t>Feb 2nd, 2020</w:t>
      </w:r>
    </w:p>
    <w:p w14:paraId="77C7DD8E" w14:textId="50601DCD" w:rsidR="00D5034D" w:rsidRPr="009B7A17" w:rsidRDefault="00345542" w:rsidP="00345542">
      <w:pPr>
        <w:pStyle w:val="Heading1"/>
        <w:numPr>
          <w:ilvl w:val="0"/>
          <w:numId w:val="0"/>
        </w:numPr>
      </w:pPr>
      <w:r w:rsidRPr="00345542">
        <w:t>Clinical Question</w:t>
      </w:r>
    </w:p>
    <w:p w14:paraId="01A80C11" w14:textId="7A8430B0" w:rsidR="00E26A93" w:rsidRDefault="002B2A98" w:rsidP="00E26A93">
      <w:r>
        <w:t xml:space="preserve">In patients undergoing treatment for </w:t>
      </w:r>
      <w:r w:rsidR="00392377" w:rsidRPr="00392377">
        <w:t>thrombocythemia</w:t>
      </w:r>
      <w:r w:rsidR="002C0838">
        <w:t xml:space="preserve">, </w:t>
      </w:r>
      <w:r>
        <w:t xml:space="preserve">does </w:t>
      </w:r>
      <w:r w:rsidR="00436089">
        <w:t xml:space="preserve">those that have been treated with </w:t>
      </w:r>
      <w:r w:rsidR="00392377" w:rsidRPr="00392377">
        <w:t>Anagrelide</w:t>
      </w:r>
      <w:r w:rsidR="00392377">
        <w:t xml:space="preserve"> has a higher risk </w:t>
      </w:r>
      <w:r w:rsidR="00436089">
        <w:t>of</w:t>
      </w:r>
      <w:r w:rsidR="009D74AA">
        <w:t xml:space="preserve"> </w:t>
      </w:r>
      <w:r w:rsidR="00436089" w:rsidRPr="006D150B">
        <w:t>thrombosis</w:t>
      </w:r>
      <w:r w:rsidR="009D74AA">
        <w:t xml:space="preserve">, </w:t>
      </w:r>
      <w:r w:rsidR="00392377">
        <w:t>compared with a more conventional alternative, H</w:t>
      </w:r>
      <w:r w:rsidR="00392377" w:rsidRPr="00392377">
        <w:t>ydroxyurea</w:t>
      </w:r>
      <w:r w:rsidR="00392377">
        <w:t>?</w:t>
      </w:r>
    </w:p>
    <w:p w14:paraId="38CFC787" w14:textId="1E4AF170" w:rsidR="002C0838" w:rsidRDefault="00E26A93" w:rsidP="00E26A93">
      <w:r>
        <w:t xml:space="preserve">Thrombocythaemia </w:t>
      </w:r>
      <w:r w:rsidR="000241FE">
        <w:t>represent in various</w:t>
      </w:r>
      <w:r>
        <w:t xml:space="preserve"> myeloproliferative disorders</w:t>
      </w:r>
      <w:r w:rsidR="000241FE">
        <w:t>,</w:t>
      </w:r>
      <w:r>
        <w:t xml:space="preserve"> including chronic myeloid leukaemia, agnogenic myeloid metaplasia</w:t>
      </w:r>
      <w:r w:rsidR="000241FE">
        <w:t>,</w:t>
      </w:r>
      <w:r>
        <w:t xml:space="preserve"> and essential thrombocythaemia</w:t>
      </w:r>
      <w:r w:rsidR="00932A31">
        <w:t xml:space="preserve"> (ET)</w:t>
      </w:r>
      <w:r w:rsidR="006D150B">
        <w:t xml:space="preserve"> </w:t>
      </w:r>
      <w:r w:rsidR="000241FE">
        <w:fldChar w:fldCharType="begin"/>
      </w:r>
      <w:r w:rsidR="000241FE">
        <w:instrText xml:space="preserve"> ADDIN EN.CITE &lt;EndNote&gt;&lt;Cite&gt;&lt;Author&gt;Sanchez&lt;/Author&gt;&lt;Year&gt;2006&lt;/Year&gt;&lt;RecNum&gt;38&lt;/RecNum&gt;&lt;DisplayText&gt;(Sanchez &amp;amp; Ewton, 2006)&lt;/DisplayText&gt;&lt;record&gt;&lt;rec-number&gt;38&lt;/rec-number&gt;&lt;foreign-keys&gt;&lt;key app="EN" db-id="p5tpw5t0cdf0a8eteflpsvsb2svtefpwvew0" timestamp="1580714996"&gt;38&lt;/key&gt;&lt;/foreign-keys&gt;&lt;ref-type name="Journal Article"&gt;17&lt;/ref-type&gt;&lt;contributors&gt;&lt;authors&gt;&lt;author&gt;Sanchez, Steven&lt;/author&gt;&lt;author&gt;Ewton, April&lt;/author&gt;&lt;/authors&gt;&lt;/contributors&gt;&lt;titles&gt;&lt;title&gt;Essential thrombocythemia: a review of diagnostic and pathologic features&lt;/title&gt;&lt;secondary-title&gt;Archives of pathology laboratory medicine&lt;/secondary-title&gt;&lt;/titles&gt;&lt;periodical&gt;&lt;full-title&gt;Archives of pathology laboratory medicine&lt;/full-title&gt;&lt;/periodical&gt;&lt;pages&gt;1144-1150&lt;/pages&gt;&lt;volume&gt;130&lt;/volume&gt;&lt;number&gt;8&lt;/number&gt;&lt;dates&gt;&lt;year&gt;2006&lt;/year&gt;&lt;/dates&gt;&lt;isbn&gt;1543-2165&lt;/isbn&gt;&lt;urls&gt;&lt;/urls&gt;&lt;/record&gt;&lt;/Cite&gt;&lt;/EndNote&gt;</w:instrText>
      </w:r>
      <w:r w:rsidR="000241FE">
        <w:fldChar w:fldCharType="separate"/>
      </w:r>
      <w:r w:rsidR="000241FE">
        <w:rPr>
          <w:noProof/>
        </w:rPr>
        <w:t>(Sanchez &amp; Ewton, 2006)</w:t>
      </w:r>
      <w:r w:rsidR="000241FE">
        <w:fldChar w:fldCharType="end"/>
      </w:r>
      <w:r w:rsidR="006D150B">
        <w:t xml:space="preserve">, which </w:t>
      </w:r>
      <w:r w:rsidR="002C0838">
        <w:t>is</w:t>
      </w:r>
      <w:r w:rsidR="002C0838" w:rsidRPr="002C0838">
        <w:t xml:space="preserve"> characterized by platelet production </w:t>
      </w:r>
      <w:r>
        <w:t xml:space="preserve">increase, </w:t>
      </w:r>
      <w:r w:rsidR="002C0838" w:rsidRPr="002C0838">
        <w:t xml:space="preserve">and </w:t>
      </w:r>
      <w:r w:rsidR="002C0838">
        <w:t>elevated platelet counts</w:t>
      </w:r>
      <w:r w:rsidR="000241FE">
        <w:t xml:space="preserve"> </w:t>
      </w:r>
      <w:r w:rsidR="000241FE">
        <w:fldChar w:fldCharType="begin"/>
      </w:r>
      <w:r w:rsidR="000241FE">
        <w:instrText xml:space="preserve"> ADDIN EN.CITE &lt;EndNote&gt;&lt;Cite&gt;&lt;Author&gt;Spencer&lt;/Author&gt;&lt;Year&gt;1994&lt;/Year&gt;&lt;RecNum&gt;36&lt;/RecNum&gt;&lt;DisplayText&gt;(Spencer &amp;amp; Brogden, 1994)&lt;/DisplayText&gt;&lt;record&gt;&lt;rec-number&gt;36&lt;/rec-number&gt;&lt;foreign-keys&gt;&lt;key app="EN" db-id="p5tpw5t0cdf0a8eteflpsvsb2svtefpwvew0" timestamp="1580714885"&gt;36&lt;/key&gt;&lt;/foreign-keys&gt;&lt;ref-type name="Journal Article"&gt;17&lt;/ref-type&gt;&lt;contributors&gt;&lt;authors&gt;&lt;author&gt;Spencer, Caroline M&lt;/author&gt;&lt;author&gt;Brogden, Rex N&lt;/author&gt;&lt;/authors&gt;&lt;/contributors&gt;&lt;titles&gt;&lt;title&gt;Anagrelide&lt;/title&gt;&lt;secondary-title&gt;Drugs&lt;/secondary-title&gt;&lt;/titles&gt;&lt;periodical&gt;&lt;full-title&gt;Drugs&lt;/full-title&gt;&lt;/periodical&gt;&lt;pages&gt;809-822&lt;/pages&gt;&lt;volume&gt;47&lt;/volume&gt;&lt;number&gt;5&lt;/number&gt;&lt;dates&gt;&lt;year&gt;1994&lt;/year&gt;&lt;/dates&gt;&lt;isbn&gt;0012-6667&lt;/isbn&gt;&lt;urls&gt;&lt;/urls&gt;&lt;/record&gt;&lt;/Cite&gt;&lt;/EndNote&gt;</w:instrText>
      </w:r>
      <w:r w:rsidR="000241FE">
        <w:fldChar w:fldCharType="separate"/>
      </w:r>
      <w:r w:rsidR="000241FE">
        <w:rPr>
          <w:noProof/>
        </w:rPr>
        <w:t>(Spencer &amp; Brogden, 1994)</w:t>
      </w:r>
      <w:r w:rsidR="000241FE">
        <w:fldChar w:fldCharType="end"/>
      </w:r>
      <w:r w:rsidR="000241FE">
        <w:t xml:space="preserve">. </w:t>
      </w:r>
      <w:r w:rsidR="006D150B">
        <w:t xml:space="preserve">Thrombocythaemia is usually seen in elderly patients, and could be dangerous, as the increased number of platelets might cause dangerous complications such as </w:t>
      </w:r>
      <w:r w:rsidR="006D150B" w:rsidRPr="006D150B">
        <w:t>systemic thrombosis</w:t>
      </w:r>
      <w:r w:rsidR="00436089">
        <w:t xml:space="preserve"> </w:t>
      </w:r>
      <w:r w:rsidR="000241FE">
        <w:fldChar w:fldCharType="begin"/>
      </w:r>
      <w:r w:rsidR="000241FE">
        <w:instrText xml:space="preserve"> ADDIN EN.CITE &lt;EndNote&gt;&lt;Cite&gt;&lt;Author&gt;Xiong&lt;/Author&gt;&lt;Year&gt;2017&lt;/Year&gt;&lt;RecNum&gt;37&lt;/RecNum&gt;&lt;DisplayText&gt;(Xiong et al., 2017)&lt;/DisplayText&gt;&lt;record&gt;&lt;rec-number&gt;37&lt;/rec-number&gt;&lt;foreign-keys&gt;&lt;key app="EN" db-id="p5tpw5t0cdf0a8eteflpsvsb2svtefpwvew0" timestamp="1580714921"&gt;37&lt;/key&gt;&lt;/foreign-keys&gt;&lt;ref-type name="Journal Article"&gt;17&lt;/ref-type&gt;&lt;contributors&gt;&lt;authors&gt;&lt;author&gt;Xiong, Nanqing&lt;/author&gt;&lt;author&gt;Gao, Wen&lt;/author&gt;&lt;author&gt;Pan, Junjie&lt;/author&gt;&lt;author&gt;Luo, Xinping&lt;/author&gt;&lt;author&gt;Shi, Haiming&lt;/author&gt;&lt;author&gt;Li, Jian&lt;/author&gt;&lt;/authors&gt;&lt;/contributors&gt;&lt;titles&gt;&lt;title&gt;Essential thrombocythemia presenting as acute coronary syndrome: case reports and literature review&lt;/title&gt;&lt;secondary-title&gt;Journal of thrombosis thrombolysis&lt;/secondary-title&gt;&lt;/titles&gt;&lt;periodical&gt;&lt;full-title&gt;Journal of thrombosis thrombolysis&lt;/full-title&gt;&lt;/periodical&gt;&lt;pages&gt;57-62&lt;/pages&gt;&lt;volume&gt;44&lt;/volume&gt;&lt;number&gt;1&lt;/number&gt;&lt;dates&gt;&lt;year&gt;2017&lt;/year&gt;&lt;/dates&gt;&lt;isbn&gt;0929-5305&lt;/isbn&gt;&lt;urls&gt;&lt;/urls&gt;&lt;/record&gt;&lt;/Cite&gt;&lt;/EndNote&gt;</w:instrText>
      </w:r>
      <w:r w:rsidR="000241FE">
        <w:fldChar w:fldCharType="separate"/>
      </w:r>
      <w:r w:rsidR="000241FE">
        <w:rPr>
          <w:noProof/>
        </w:rPr>
        <w:t>(Xiong et al., 2017)</w:t>
      </w:r>
      <w:r w:rsidR="000241FE">
        <w:fldChar w:fldCharType="end"/>
      </w:r>
      <w:r w:rsidR="000241FE">
        <w:t>.</w:t>
      </w:r>
      <w:r w:rsidR="006D150B">
        <w:t xml:space="preserve"> Thus, there is an essential need for drug development to limit the patient’s platelet count in normal range, in order to minimize the risk of the potential </w:t>
      </w:r>
      <w:r w:rsidR="006D150B" w:rsidRPr="009D74AA">
        <w:t>cardiovascular adverse effects</w:t>
      </w:r>
      <w:r w:rsidR="006D150B">
        <w:t>.</w:t>
      </w:r>
    </w:p>
    <w:p w14:paraId="2BF07166" w14:textId="04A5A9C6" w:rsidR="00495608" w:rsidRDefault="00345542" w:rsidP="00345542">
      <w:pPr>
        <w:pStyle w:val="Heading2"/>
        <w:numPr>
          <w:ilvl w:val="0"/>
          <w:numId w:val="0"/>
        </w:numPr>
      </w:pPr>
      <w:r>
        <w:t>BACKGROUND</w:t>
      </w:r>
    </w:p>
    <w:p w14:paraId="6B8191CC" w14:textId="6A32D180" w:rsidR="00E26A93" w:rsidRDefault="00E26A93" w:rsidP="00C74E7C">
      <w:r w:rsidRPr="002C0838">
        <w:t>Anagrelide</w:t>
      </w:r>
      <w:r>
        <w:t xml:space="preserve"> is </w:t>
      </w:r>
      <w:r w:rsidRPr="002C0838">
        <w:t>an orally active quinazolin,</w:t>
      </w:r>
      <w:r>
        <w:t xml:space="preserve"> which is known for causing</w:t>
      </w:r>
      <w:r w:rsidRPr="002C0838">
        <w:t xml:space="preserve"> thrombocytopenia</w:t>
      </w:r>
      <w:r>
        <w:t>,</w:t>
      </w:r>
      <w:r w:rsidRPr="002C0838">
        <w:t xml:space="preserve"> and has </w:t>
      </w:r>
      <w:r>
        <w:t xml:space="preserve">thus been evaluated for treating </w:t>
      </w:r>
      <w:r w:rsidRPr="002C0838">
        <w:t>thrombocythaemia</w:t>
      </w:r>
      <w:r w:rsidR="000241FE">
        <w:t xml:space="preserve"> </w:t>
      </w:r>
      <w:r w:rsidR="000241FE">
        <w:fldChar w:fldCharType="begin"/>
      </w:r>
      <w:r w:rsidR="000241FE">
        <w:instrText xml:space="preserve"> ADDIN EN.CITE &lt;EndNote&gt;&lt;Cite&gt;&lt;Author&gt;Spencer&lt;/Author&gt;&lt;Year&gt;1994&lt;/Year&gt;&lt;RecNum&gt;36&lt;/RecNum&gt;&lt;DisplayText&gt;(Spencer &amp;amp; Brogden, 1994)&lt;/DisplayText&gt;&lt;record&gt;&lt;rec-number&gt;36&lt;/rec-number&gt;&lt;foreign-keys&gt;&lt;key app="EN" db-id="p5tpw5t0cdf0a8eteflpsvsb2svtefpwvew0" timestamp="1580714885"&gt;36&lt;/key&gt;&lt;/foreign-keys&gt;&lt;ref-type name="Journal Article"&gt;17&lt;/ref-type&gt;&lt;contributors&gt;&lt;authors&gt;&lt;author&gt;Spencer, Caroline M&lt;/author&gt;&lt;author&gt;Brogden, Rex N&lt;/author&gt;&lt;/authors&gt;&lt;/contributors&gt;&lt;titles&gt;&lt;title&gt;Anagrelide&lt;/title&gt;&lt;secondary-title&gt;Drugs&lt;/secondary-title&gt;&lt;/titles&gt;&lt;periodical&gt;&lt;full-title&gt;Drugs&lt;/full-title&gt;&lt;/periodical&gt;&lt;pages&gt;809-822&lt;/pages&gt;&lt;volume&gt;47&lt;/volume&gt;&lt;number&gt;5&lt;/number&gt;&lt;dates&gt;&lt;year&gt;1994&lt;/year&gt;&lt;/dates&gt;&lt;isbn&gt;0012-6667&lt;/isbn&gt;&lt;urls&gt;&lt;/urls&gt;&lt;/record&gt;&lt;/Cite&gt;&lt;/EndNote&gt;</w:instrText>
      </w:r>
      <w:r w:rsidR="000241FE">
        <w:fldChar w:fldCharType="separate"/>
      </w:r>
      <w:r w:rsidR="000241FE">
        <w:rPr>
          <w:noProof/>
        </w:rPr>
        <w:t>(Spencer &amp; Brogden, 1994)</w:t>
      </w:r>
      <w:r w:rsidR="000241FE">
        <w:fldChar w:fldCharType="end"/>
      </w:r>
      <w:r w:rsidR="000241FE">
        <w:t xml:space="preserve">. </w:t>
      </w:r>
      <w:r w:rsidR="00C74E7C">
        <w:t xml:space="preserve">Anagrelide is approved by FDA in 1997 in order to treat </w:t>
      </w:r>
      <w:r w:rsidR="00C74E7C" w:rsidRPr="00C74E7C">
        <w:t>essential thrombocythemia</w:t>
      </w:r>
      <w:r w:rsidR="00C74E7C">
        <w:t xml:space="preserve">, under then commercial name of </w:t>
      </w:r>
      <w:r w:rsidR="00C74E7C" w:rsidRPr="00C74E7C">
        <w:t>AGRYLIN</w:t>
      </w:r>
      <w:r w:rsidR="00C74E7C">
        <w:t xml:space="preserve"> by </w:t>
      </w:r>
      <w:r w:rsidR="00C74E7C" w:rsidRPr="00C74E7C">
        <w:t>Roberts Pharmaceutical</w:t>
      </w:r>
      <w:r w:rsidR="00C74E7C">
        <w:t xml:space="preserve">. In the associated clinical trial, among a total of 551 patients, the </w:t>
      </w:r>
      <w:r w:rsidR="00C74E7C" w:rsidRPr="00C74E7C">
        <w:t>most frequently reported adverse reactions were headache, palpitations, diarrhea, and abdominal pain</w:t>
      </w:r>
      <w:r w:rsidR="00C74E7C">
        <w:t xml:space="preserve"> </w:t>
      </w:r>
      <w:r w:rsidR="000241FE">
        <w:fldChar w:fldCharType="begin"/>
      </w:r>
      <w:r w:rsidR="000241FE">
        <w:instrText xml:space="preserve"> ADDIN EN.CITE &lt;EndNote&gt;&lt;Cite&gt;&lt;Author&gt;Solberg Jr&lt;/Author&gt;&lt;Year&gt;1997&lt;/Year&gt;&lt;RecNum&gt;39&lt;/RecNum&gt;&lt;DisplayText&gt;(Solberg Jr et al., 1997)&lt;/DisplayText&gt;&lt;record&gt;&lt;rec-number&gt;39&lt;/rec-number&gt;&lt;foreign-keys&gt;&lt;key app="EN" db-id="p5tpw5t0cdf0a8eteflpsvsb2svtefpwvew0" timestamp="1580715140"&gt;39&lt;/key&gt;&lt;/foreign-keys&gt;&lt;ref-type name="Journal Article"&gt;17&lt;/ref-type&gt;&lt;contributors&gt;&lt;authors&gt;&lt;author&gt;Solberg Jr, Lawrence A&lt;/author&gt;&lt;author&gt;Tefferi, Ayalew&lt;/author&gt;&lt;author&gt;Oles, Karl J&lt;/author&gt;&lt;author&gt;Tarach, Jerzy S&lt;/author&gt;&lt;author&gt;Petitt, Robert M&lt;/author&gt;&lt;author&gt;Forstrom, Lee A&lt;/author&gt;&lt;author&gt;Silverstein, Murray N&lt;/author&gt;&lt;/authors&gt;&lt;/contributors&gt;&lt;titles&gt;&lt;title&gt;The effects of anagrelide on human megakaryocytopoiesis&lt;/title&gt;&lt;secondary-title&gt;British journal of haematology&lt;/secondary-title&gt;&lt;/titles&gt;&lt;periodical&gt;&lt;full-title&gt;British journal of haematology&lt;/full-title&gt;&lt;/periodical&gt;&lt;pages&gt;174-180&lt;/pages&gt;&lt;volume&gt;99&lt;/volume&gt;&lt;number&gt;1&lt;/number&gt;&lt;dates&gt;&lt;year&gt;1997&lt;/year&gt;&lt;/dates&gt;&lt;isbn&gt;0007-1048&lt;/isbn&gt;&lt;urls&gt;&lt;/urls&gt;&lt;/record&gt;&lt;/Cite&gt;&lt;/EndNote&gt;</w:instrText>
      </w:r>
      <w:r w:rsidR="000241FE">
        <w:fldChar w:fldCharType="separate"/>
      </w:r>
      <w:r w:rsidR="000241FE">
        <w:rPr>
          <w:noProof/>
        </w:rPr>
        <w:t>(Solberg Jr et al., 1997)</w:t>
      </w:r>
      <w:r w:rsidR="000241FE">
        <w:fldChar w:fldCharType="end"/>
      </w:r>
      <w:r w:rsidR="000241FE">
        <w:t xml:space="preserve">. </w:t>
      </w:r>
      <w:r w:rsidR="00436089">
        <w:t xml:space="preserve">Patient </w:t>
      </w:r>
      <w:r w:rsidR="00436089" w:rsidRPr="006D150B">
        <w:t>thrombosis</w:t>
      </w:r>
      <w:r w:rsidR="00436089">
        <w:t xml:space="preserve"> data was not included in this clinical trial. </w:t>
      </w:r>
    </w:p>
    <w:p w14:paraId="0BB2E22F" w14:textId="519E3555" w:rsidR="00C74E7C" w:rsidRDefault="00C74E7C" w:rsidP="00C74E7C">
      <w:r>
        <w:t>H</w:t>
      </w:r>
      <w:r w:rsidRPr="00C74E7C">
        <w:t>ydroxyurea</w:t>
      </w:r>
      <w:r>
        <w:t xml:space="preserve"> is a time-tested older drug, which has been widely used to treat sickle cell disease in 1980s (although FDA has not approved its usage until 1998) </w:t>
      </w:r>
      <w:r w:rsidR="000241FE">
        <w:lastRenderedPageBreak/>
        <w:fldChar w:fldCharType="begin"/>
      </w:r>
      <w:r w:rsidR="000241FE">
        <w:instrText xml:space="preserve"> ADDIN EN.CITE &lt;EndNote&gt;&lt;Cite&gt;&lt;Author&gt;Okam&lt;/Author&gt;&lt;Year&gt;2014&lt;/Year&gt;&lt;RecNum&gt;40&lt;/RecNum&gt;&lt;DisplayText&gt;(Okam, Shaykevich, Ebert, Zaslavsky, &amp;amp; Ayanian, 2014)&lt;/DisplayText&gt;&lt;record&gt;&lt;rec-number&gt;40&lt;/rec-number&gt;&lt;foreign-keys&gt;&lt;key app="EN" db-id="p5tpw5t0cdf0a8eteflpsvsb2svtefpwvew0" timestamp="1580715187"&gt;40&lt;/key&gt;&lt;/foreign-keys&gt;&lt;ref-type name="Journal Article"&gt;17&lt;/ref-type&gt;&lt;contributors&gt;&lt;authors&gt;&lt;author&gt;Okam, Maureen M&lt;/author&gt;&lt;author&gt;Shaykevich, Shimon&lt;/author&gt;&lt;author&gt;Ebert, Benjamin L&lt;/author&gt;&lt;author&gt;Zaslavsky, Alan M&lt;/author&gt;&lt;author&gt;Ayanian, John Z&lt;/author&gt;&lt;/authors&gt;&lt;/contributors&gt;&lt;titles&gt;&lt;title&gt;National Trends in Hospitalizations for Sickle Cell Disease in the United States following the FDA Approval of Hydroxyurea, 1998 to 2008&lt;/title&gt;&lt;secondary-title&gt;Medical care&lt;/secondary-title&gt;&lt;/titles&gt;&lt;periodical&gt;&lt;full-title&gt;Medical care&lt;/full-title&gt;&lt;/periodical&gt;&lt;pages&gt;612&lt;/pages&gt;&lt;volume&gt;52&lt;/volume&gt;&lt;number&gt;7&lt;/number&gt;&lt;dates&gt;&lt;year&gt;2014&lt;/year&gt;&lt;/dates&gt;&lt;urls&gt;&lt;/urls&gt;&lt;/record&gt;&lt;/Cite&gt;&lt;/EndNote&gt;</w:instrText>
      </w:r>
      <w:r w:rsidR="000241FE">
        <w:fldChar w:fldCharType="separate"/>
      </w:r>
      <w:r w:rsidR="000241FE">
        <w:rPr>
          <w:noProof/>
        </w:rPr>
        <w:t>(Okam, Shaykevich, Ebert, Zaslavsky, &amp; Ayanian, 2014)</w:t>
      </w:r>
      <w:r w:rsidR="000241FE">
        <w:fldChar w:fldCharType="end"/>
      </w:r>
      <w:r w:rsidR="000241FE">
        <w:t>.</w:t>
      </w:r>
      <w:r>
        <w:t xml:space="preserve"> </w:t>
      </w:r>
      <w:r w:rsidR="00436089">
        <w:t>Compared with newer drugs, h</w:t>
      </w:r>
      <w:r w:rsidR="00436089" w:rsidRPr="00C74E7C">
        <w:t>ydroxyurea</w:t>
      </w:r>
      <w:r w:rsidR="00436089">
        <w:t xml:space="preserve"> is also cost-effective. The c</w:t>
      </w:r>
      <w:r w:rsidR="00436089" w:rsidRPr="00436089">
        <w:t xml:space="preserve">ost for hydroxyurea oral capsule 500 mg is around $78 for a supply of 100 capsules, </w:t>
      </w:r>
      <w:r w:rsidR="00436089">
        <w:t>while the cost for A</w:t>
      </w:r>
      <w:r w:rsidR="00436089" w:rsidRPr="00436089">
        <w:t>nagrelide oral capsule 0.5 mg is around $2</w:t>
      </w:r>
      <w:r w:rsidR="00436089">
        <w:t xml:space="preserve">73 for a supply of 100 capsules </w:t>
      </w:r>
      <w:r w:rsidR="000241FE">
        <w:fldChar w:fldCharType="begin"/>
      </w:r>
      <w:r w:rsidR="000241FE">
        <w:instrText xml:space="preserve"> ADDIN EN.CITE &lt;EndNote&gt;&lt;Cite&gt;&lt;Author&gt;Drugs.com&lt;/Author&gt;&lt;Year&gt;2019&lt;/Year&gt;&lt;RecNum&gt;41&lt;/RecNum&gt;&lt;DisplayText&gt;(Drugs.com, 2019)&lt;/DisplayText&gt;&lt;record&gt;&lt;rec-number&gt;41&lt;/rec-number&gt;&lt;foreign-keys&gt;&lt;key app="EN" db-id="p5tpw5t0cdf0a8eteflpsvsb2svtefpwvew0" timestamp="1580715270"&gt;41&lt;/key&gt;&lt;/foreign-keys&gt;&lt;ref-type name="Web Page"&gt;12&lt;/ref-type&gt;&lt;contributors&gt;&lt;authors&gt;&lt;author&gt;Drugs.com&lt;/author&gt;&lt;/authors&gt;&lt;/contributors&gt;&lt;titles&gt;&lt;/titles&gt;&lt;dates&gt;&lt;year&gt;2019&lt;/year&gt;&lt;/dates&gt;&lt;urls&gt;&lt;related-urls&gt;&lt;url&gt;https://www.drugs.com/price-guide/&lt;/url&gt;&lt;/related-urls&gt;&lt;/urls&gt;&lt;/record&gt;&lt;/Cite&gt;&lt;/EndNote&gt;</w:instrText>
      </w:r>
      <w:r w:rsidR="000241FE">
        <w:fldChar w:fldCharType="separate"/>
      </w:r>
      <w:r w:rsidR="000241FE">
        <w:rPr>
          <w:noProof/>
        </w:rPr>
        <w:t>(Drugs.com, 2019)</w:t>
      </w:r>
      <w:r w:rsidR="000241FE">
        <w:fldChar w:fldCharType="end"/>
      </w:r>
      <w:r w:rsidR="000241FE">
        <w:t>.</w:t>
      </w:r>
    </w:p>
    <w:p w14:paraId="72D580FB" w14:textId="61DCAAE5" w:rsidR="00932A31" w:rsidRDefault="00437F22" w:rsidP="00932A31">
      <w:r>
        <w:t>In 2012, a clinical trial in 2012 compared 122 patients treated with A</w:t>
      </w:r>
      <w:r w:rsidRPr="00436089">
        <w:t>nagrelide</w:t>
      </w:r>
      <w:r>
        <w:t xml:space="preserve"> and 137 treated with Hydroxyurea</w:t>
      </w:r>
      <w:r w:rsidR="002B2A98">
        <w:t xml:space="preserve"> </w:t>
      </w:r>
      <w:r>
        <w:t xml:space="preserve">suggest that both </w:t>
      </w:r>
      <w:r w:rsidR="000241FE">
        <w:t>groups</w:t>
      </w:r>
      <w:r>
        <w:t xml:space="preserve"> show similar risk of all kinds of thrombosis, including major/minor arterial/venous </w:t>
      </w:r>
      <w:r w:rsidRPr="006D150B">
        <w:t>thrombosis</w:t>
      </w:r>
      <w:r>
        <w:t xml:space="preserve">, and concluded that “Anagrelide as a selective platelet-lowering agent is not inferior </w:t>
      </w:r>
      <w:r w:rsidR="00D463B0">
        <w:t>compared with</w:t>
      </w:r>
      <w:r>
        <w:t xml:space="preserve"> hydroxyurea in the prevention of thrombotic complications</w:t>
      </w:r>
      <w:r w:rsidR="000241FE">
        <w:t>.</w:t>
      </w:r>
      <w:r>
        <w:t xml:space="preserve">” </w:t>
      </w:r>
      <w:r w:rsidR="000241FE">
        <w:fldChar w:fldCharType="begin"/>
      </w:r>
      <w:r w:rsidR="000241FE">
        <w:instrText xml:space="preserve"> ADDIN EN.CITE &lt;EndNote&gt;&lt;Cite&gt;&lt;Author&gt;Gisslinger&lt;/Author&gt;&lt;Year&gt;2013&lt;/Year&gt;&lt;RecNum&gt;42&lt;/RecNum&gt;&lt;DisplayText&gt;(Gisslinger et al., 2013)&lt;/DisplayText&gt;&lt;record&gt;&lt;rec-number&gt;42&lt;/rec-number&gt;&lt;foreign-keys&gt;&lt;key app="EN" db-id="p5tpw5t0cdf0a8eteflpsvsb2svtefpwvew0" timestamp="1580715301"&gt;42&lt;/key&gt;&lt;/foreign-keys&gt;&lt;ref-type name="Journal Article"&gt;17&lt;/ref-type&gt;&lt;contributors&gt;&lt;authors&gt;&lt;author&gt;Gisslinger, Heinz&lt;/author&gt;&lt;author&gt;Gotic, Mirjana&lt;/author&gt;&lt;author&gt;Holowiecki, Jerzy&lt;/author&gt;&lt;author&gt;Penka, Miroslav&lt;/author&gt;&lt;author&gt;Thiele, Juergen&lt;/author&gt;&lt;author&gt;Kvasnicka, Hans-Michael&lt;/author&gt;&lt;author&gt;Kralovics, Robert&lt;/author&gt;&lt;author&gt;Petrides, Petro E&lt;/author&gt;&lt;/authors&gt;&lt;/contributors&gt;&lt;titles&gt;&lt;title&gt;Anagrelide compared with hydroxyurea in WHO-classified essential thrombocythemia: the ANAHYDRET Study, a randomized controlled trial&lt;/title&gt;&lt;secondary-title&gt;Blood, The Journal of the American Society of Hematology&lt;/secondary-title&gt;&lt;/titles&gt;&lt;periodical&gt;&lt;full-title&gt;Blood, The Journal of the American Society of Hematology&lt;/full-title&gt;&lt;/periodical&gt;&lt;pages&gt;1720-1728&lt;/pages&gt;&lt;volume&gt;121&lt;/volume&gt;&lt;number&gt;10&lt;/number&gt;&lt;dates&gt;&lt;year&gt;2013&lt;/year&gt;&lt;/dates&gt;&lt;isbn&gt;0006-4971&lt;/isbn&gt;&lt;urls&gt;&lt;/urls&gt;&lt;/record&gt;&lt;/Cite&gt;&lt;/EndNote&gt;</w:instrText>
      </w:r>
      <w:r w:rsidR="000241FE">
        <w:fldChar w:fldCharType="separate"/>
      </w:r>
      <w:r w:rsidR="000241FE">
        <w:rPr>
          <w:noProof/>
        </w:rPr>
        <w:t>(Gisslinger et al., 2013)</w:t>
      </w:r>
      <w:r w:rsidR="000241FE">
        <w:fldChar w:fldCharType="end"/>
      </w:r>
      <w:r w:rsidR="000241FE">
        <w:t xml:space="preserve"> H</w:t>
      </w:r>
      <w:r>
        <w:t xml:space="preserve">owever, a more recent research article published in 2019 </w:t>
      </w:r>
      <w:r w:rsidR="00932A31">
        <w:t xml:space="preserve">checked the </w:t>
      </w:r>
      <w:r w:rsidR="00932A31" w:rsidRPr="00932A31">
        <w:t>Anagrelide clinical trials</w:t>
      </w:r>
      <w:r w:rsidR="00932A31">
        <w:t xml:space="preserve"> back in the 1990s, and noticed that the thrombosis-free survival data for ET patients diagnosed before the 1997 FDA approval date is significantly better compared with that after the 1997 FDA approval date </w:t>
      </w:r>
      <w:r w:rsidR="000241FE">
        <w:fldChar w:fldCharType="begin"/>
      </w:r>
      <w:r w:rsidR="000241FE">
        <w:instrText xml:space="preserve"> ADDIN EN.CITE &lt;EndNote&gt;&lt;Cite&gt;&lt;Author&gt;Tefferi&lt;/Author&gt;&lt;Year&gt;2019&lt;/Year&gt;&lt;RecNum&gt;43&lt;/RecNum&gt;&lt;DisplayText&gt;(Tefferi et al., 2019)&lt;/DisplayText&gt;&lt;record&gt;&lt;rec-number&gt;43&lt;/rec-number&gt;&lt;foreign-keys&gt;&lt;key app="EN" db-id="p5tpw5t0cdf0a8eteflpsvsb2svtefpwvew0" timestamp="1580715345"&gt;43&lt;/key&gt;&lt;/foreign-keys&gt;&lt;ref-type name="Journal Article"&gt;17&lt;/ref-type&gt;&lt;contributors&gt;&lt;authors&gt;&lt;author&gt;Tefferi, Ayalew&lt;/author&gt;&lt;author&gt;Szuber, Natasha&lt;/author&gt;&lt;author&gt;Vallapureddy, Rangit R&lt;/author&gt;&lt;author&gt;Begna, Kebede H&lt;/author&gt;&lt;author&gt;Patnaik, Mrinal M&lt;/author&gt;&lt;author&gt;Elliott, Michelle A&lt;/author&gt;&lt;author&gt;Christopher Hook, C&lt;/author&gt;&lt;author&gt;Wolanskyj, Alexandra P&lt;/author&gt;&lt;author&gt;Hanson, Curtis A&lt;/author&gt;&lt;author&gt;Ketterling, Rhett P&lt;/author&gt;&lt;/authors&gt;&lt;/contributors&gt;&lt;titles&gt;&lt;title&gt;Decreased survival and increased rate of fibrotic progression in essential thrombocythemia chronicled after the FDA approval date of anagrelide&lt;/title&gt;&lt;secondary-title&gt;American journal of hematology&lt;/secondary-title&gt;&lt;/titles&gt;&lt;periodical&gt;&lt;full-title&gt;American journal of hematology&lt;/full-title&gt;&lt;/periodical&gt;&lt;pages&gt;5-9&lt;/pages&gt;&lt;volume&gt;94&lt;/volume&gt;&lt;number&gt;1&lt;/number&gt;&lt;dates&gt;&lt;year&gt;2019&lt;/year&gt;&lt;/dates&gt;&lt;isbn&gt;0361-8609&lt;/isbn&gt;&lt;urls&gt;&lt;/urls&gt;&lt;/record&gt;&lt;/Cite&gt;&lt;/EndNote&gt;</w:instrText>
      </w:r>
      <w:r w:rsidR="000241FE">
        <w:fldChar w:fldCharType="separate"/>
      </w:r>
      <w:r w:rsidR="000241FE">
        <w:rPr>
          <w:noProof/>
        </w:rPr>
        <w:t>(Tefferi et al., 2019)</w:t>
      </w:r>
      <w:r w:rsidR="000241FE">
        <w:fldChar w:fldCharType="end"/>
      </w:r>
      <w:r w:rsidR="000241FE">
        <w:t xml:space="preserve">. </w:t>
      </w:r>
      <w:r w:rsidR="00932A31">
        <w:t xml:space="preserve">In more recent literature review, transfusion experts suggest directly that the main indication for treatment in ET is to prevent thrombosis, and that “none of the newer drugs have been shown to be superior to the time-tested older drugs (e.g., hydroxyurea).” </w:t>
      </w:r>
      <w:r w:rsidR="000241FE">
        <w:fldChar w:fldCharType="begin"/>
      </w:r>
      <w:r w:rsidR="000241FE">
        <w:instrText xml:space="preserve"> ADDIN EN.CITE &lt;EndNote&gt;&lt;Cite&gt;&lt;Author&gt;Tefferi&lt;/Author&gt;&lt;Year&gt;2018&lt;/Year&gt;&lt;RecNum&gt;44&lt;/RecNum&gt;&lt;DisplayText&gt;(Tefferi, Vannucchi, &amp;amp; Barbui, 2018)&lt;/DisplayText&gt;&lt;record&gt;&lt;rec-number&gt;44&lt;/rec-number&gt;&lt;foreign-keys&gt;&lt;key app="EN" db-id="p5tpw5t0cdf0a8eteflpsvsb2svtefpwvew0" timestamp="1580715380"&gt;44&lt;/key&gt;&lt;/foreign-keys&gt;&lt;ref-type name="Journal Article"&gt;17&lt;/ref-type&gt;&lt;contributors&gt;&lt;authors&gt;&lt;author&gt;Tefferi, Ayalew&lt;/author&gt;&lt;author&gt;Vannucchi, Alessandro M&lt;/author&gt;&lt;author&gt;Barbui, Tiziano&lt;/author&gt;&lt;/authors&gt;&lt;/contributors&gt;&lt;titles&gt;&lt;title&gt;Essential thrombocythemia treatment algorithm 2018&lt;/title&gt;&lt;secondary-title&gt;Blood cancer journal&lt;/secondary-title&gt;&lt;/titles&gt;&lt;periodical&gt;&lt;full-title&gt;Blood cancer journal&lt;/full-title&gt;&lt;/periodical&gt;&lt;pages&gt;1-6&lt;/pages&gt;&lt;volume&gt;8&lt;/volume&gt;&lt;number&gt;1&lt;/number&gt;&lt;dates&gt;&lt;year&gt;2018&lt;/year&gt;&lt;/dates&gt;&lt;isbn&gt;2044-5385&lt;/isbn&gt;&lt;urls&gt;&lt;/urls&gt;&lt;/record&gt;&lt;/Cite&gt;&lt;/EndNote&gt;</w:instrText>
      </w:r>
      <w:r w:rsidR="000241FE">
        <w:fldChar w:fldCharType="separate"/>
      </w:r>
      <w:r w:rsidR="000241FE">
        <w:rPr>
          <w:noProof/>
        </w:rPr>
        <w:t>(Tefferi, Vannucchi, &amp; Barbui, 2018)</w:t>
      </w:r>
      <w:r w:rsidR="000241FE">
        <w:fldChar w:fldCharType="end"/>
      </w:r>
      <w:r w:rsidR="000241FE">
        <w:t xml:space="preserve">. </w:t>
      </w:r>
      <w:r w:rsidR="00932A31">
        <w:t>These works indicate that it is beneficial to compare Anagrelide with Hydroxyurea</w:t>
      </w:r>
      <w:r w:rsidR="00D463B0">
        <w:t xml:space="preserve"> </w:t>
      </w:r>
      <w:r w:rsidR="00932A31">
        <w:t>on the risk of</w:t>
      </w:r>
      <w:r w:rsidR="00D463B0">
        <w:t xml:space="preserve"> </w:t>
      </w:r>
      <w:r w:rsidR="00D463B0" w:rsidRPr="006D150B">
        <w:t>thrombosis</w:t>
      </w:r>
      <w:r w:rsidR="00932A31">
        <w:t xml:space="preserve">, using a </w:t>
      </w:r>
      <w:r w:rsidR="000241FE">
        <w:t>broader</w:t>
      </w:r>
      <w:r w:rsidR="00932A31">
        <w:t xml:space="preserve"> data generated in actual clinical practice</w:t>
      </w:r>
      <w:r w:rsidR="00D463B0">
        <w:t>.</w:t>
      </w:r>
    </w:p>
    <w:p w14:paraId="13F471FD" w14:textId="55010307" w:rsidR="00495608" w:rsidRDefault="00345542" w:rsidP="00345542">
      <w:pPr>
        <w:pStyle w:val="Heading2"/>
        <w:numPr>
          <w:ilvl w:val="0"/>
          <w:numId w:val="0"/>
        </w:numPr>
        <w:ind w:left="270" w:hanging="270"/>
      </w:pPr>
      <w:r>
        <w:t>COHORTS</w:t>
      </w:r>
    </w:p>
    <w:p w14:paraId="681FFE55" w14:textId="736581A7" w:rsidR="002B2A98" w:rsidRDefault="002B2A98" w:rsidP="002B2A98">
      <w:r>
        <w:t xml:space="preserve">Target Cohort - The target cohort is patients who have </w:t>
      </w:r>
      <w:r w:rsidR="00D463B0">
        <w:t xml:space="preserve">taken Anagrelide to treat </w:t>
      </w:r>
      <w:r w:rsidR="00D463B0" w:rsidRPr="00392377">
        <w:t>thrombocythemia</w:t>
      </w:r>
      <w:r>
        <w:t xml:space="preserve"> with at least 60 days of follow-up</w:t>
      </w:r>
      <w:r w:rsidR="00D463B0">
        <w:t>, and are not affected by sickle cell disease</w:t>
      </w:r>
      <w:r>
        <w:t>.</w:t>
      </w:r>
    </w:p>
    <w:p w14:paraId="782751B1" w14:textId="2A280F63" w:rsidR="00D463B0" w:rsidRDefault="002B2A98" w:rsidP="00D463B0">
      <w:r>
        <w:t xml:space="preserve">Comparator Cohort - </w:t>
      </w:r>
      <w:r w:rsidR="00D463B0">
        <w:t xml:space="preserve">The target cohort is patients who have taken with Hydroxyurea to treat </w:t>
      </w:r>
      <w:r w:rsidR="00D463B0" w:rsidRPr="00392377">
        <w:t>thrombocythemia</w:t>
      </w:r>
      <w:r w:rsidR="00D463B0">
        <w:t xml:space="preserve"> with at least 60 days of follow-up, and are not affected by sickle cell disease.</w:t>
      </w:r>
    </w:p>
    <w:p w14:paraId="2D32130F" w14:textId="2793014D" w:rsidR="00495608" w:rsidRDefault="002B2A98" w:rsidP="002B2A98">
      <w:r>
        <w:t xml:space="preserve">Outcome Cohort – The outcome cohort is patients who have been diagnosed with </w:t>
      </w:r>
      <w:r w:rsidR="00D463B0" w:rsidRPr="006D150B">
        <w:t>thrombosis</w:t>
      </w:r>
      <w:r w:rsidR="00D463B0">
        <w:t xml:space="preserve"> complications. </w:t>
      </w:r>
    </w:p>
    <w:p w14:paraId="374202AE" w14:textId="01D4B376" w:rsidR="00345542" w:rsidRDefault="00345542" w:rsidP="00345542">
      <w:pPr>
        <w:pStyle w:val="Heading2"/>
        <w:numPr>
          <w:ilvl w:val="0"/>
          <w:numId w:val="0"/>
        </w:numPr>
        <w:ind w:left="270" w:hanging="270"/>
      </w:pPr>
      <w:r>
        <w:t>ADDITIONAL COMMENTS</w:t>
      </w:r>
    </w:p>
    <w:p w14:paraId="3B0299A8" w14:textId="27810DA5" w:rsidR="00D463B0" w:rsidRDefault="00D463B0" w:rsidP="002B2A98">
      <w:r>
        <w:t>As the patient groups of the A</w:t>
      </w:r>
      <w:r w:rsidRPr="00D463B0">
        <w:t>nagrelide</w:t>
      </w:r>
      <w:r>
        <w:t xml:space="preserve"> and H</w:t>
      </w:r>
      <w:r w:rsidRPr="00C74E7C">
        <w:t>ydroxyurea</w:t>
      </w:r>
      <w:r>
        <w:t xml:space="preserve"> are not perfectly matching, the former is used majorly on ET patients, while the latter are widely </w:t>
      </w:r>
      <w:r>
        <w:lastRenderedPageBreak/>
        <w:t xml:space="preserve">used for all kinds of </w:t>
      </w:r>
      <w:r w:rsidRPr="00392377">
        <w:t>thrombocythemia</w:t>
      </w:r>
      <w:r>
        <w:t xml:space="preserve"> (including ET), as well as for sickle cell disease patients. Thus, I </w:t>
      </w:r>
      <w:r w:rsidR="00801160">
        <w:t xml:space="preserve">propose </w:t>
      </w:r>
      <w:r>
        <w:t xml:space="preserve">to exclude all patients that are affected by sickle cell disease. This </w:t>
      </w:r>
      <w:r w:rsidR="00801160">
        <w:t xml:space="preserve">decision </w:t>
      </w:r>
      <w:r>
        <w:t xml:space="preserve">could </w:t>
      </w:r>
      <w:r w:rsidR="00801160">
        <w:t xml:space="preserve">be due for change, as in the U.S., nearly all sickle cell disease patients are African-Americans </w:t>
      </w:r>
      <w:r w:rsidR="000241FE">
        <w:fldChar w:fldCharType="begin"/>
      </w:r>
      <w:r w:rsidR="000241FE">
        <w:instrText xml:space="preserve"> ADDIN EN.CITE &lt;EndNote&gt;&lt;Cite&gt;&lt;Author&gt;Hassell&lt;/Author&gt;&lt;Year&gt;2010&lt;/Year&gt;&lt;RecNum&gt;45&lt;/RecNum&gt;&lt;DisplayText&gt;(Hassell, 2010)&lt;/DisplayText&gt;&lt;record&gt;&lt;rec-number&gt;45&lt;/rec-number&gt;&lt;foreign-keys&gt;&lt;key app="EN" db-id="p5tpw5t0cdf0a8eteflpsvsb2svtefpwvew0" timestamp="1580715421"&gt;45&lt;/key&gt;&lt;/foreign-keys&gt;&lt;ref-type name="Journal Article"&gt;17&lt;/ref-type&gt;&lt;contributors&gt;&lt;authors&gt;&lt;author&gt;Hassell, Kathryn L&lt;/author&gt;&lt;/authors&gt;&lt;/contributors&gt;&lt;titles&gt;&lt;title&gt;Population estimates of sickle cell disease in the US&lt;/title&gt;&lt;secondary-title&gt;American journal of preventive medicine&lt;/secondary-title&gt;&lt;/titles&gt;&lt;periodical&gt;&lt;full-title&gt;American journal of preventive medicine&lt;/full-title&gt;&lt;/periodical&gt;&lt;pages&gt;S512-S521&lt;/pages&gt;&lt;volume&gt;38&lt;/volume&gt;&lt;number&gt;4&lt;/number&gt;&lt;dates&gt;&lt;year&gt;2010&lt;/year&gt;&lt;/dates&gt;&lt;isbn&gt;0749-3797&lt;/isbn&gt;&lt;urls&gt;&lt;/urls&gt;&lt;/record&gt;&lt;/Cite&gt;&lt;/EndNote&gt;</w:instrText>
      </w:r>
      <w:r w:rsidR="000241FE">
        <w:fldChar w:fldCharType="separate"/>
      </w:r>
      <w:r w:rsidR="000241FE">
        <w:rPr>
          <w:noProof/>
        </w:rPr>
        <w:t>(Hassell, 2010)</w:t>
      </w:r>
      <w:r w:rsidR="000241FE">
        <w:fldChar w:fldCharType="end"/>
      </w:r>
      <w:r w:rsidR="000241FE">
        <w:t>,</w:t>
      </w:r>
      <w:r w:rsidR="00801160">
        <w:t xml:space="preserve"> which in general are easier to be affected by hypertension </w:t>
      </w:r>
      <w:r w:rsidR="000241FE">
        <w:fldChar w:fldCharType="begin"/>
      </w:r>
      <w:r w:rsidR="002C64AF">
        <w:instrText xml:space="preserve"> ADDIN EN.CITE &lt;EndNote&gt;&lt;Cite&gt;&lt;Author&gt;Kramer&lt;/Author&gt;&lt;Year&gt;2004&lt;/Year&gt;&lt;RecNum&gt;46&lt;/RecNum&gt;&lt;DisplayText&gt;(Kramer et al., 2004)&lt;/DisplayText&gt;&lt;record&gt;&lt;rec-number&gt;46&lt;/rec-number&gt;&lt;foreign-keys&gt;&lt;key app="EN" db-id="p5tpw5t0cdf0a8eteflpsvsb2svtefpwvew0" timestamp="1580715459"&gt;46&lt;/key&gt;&lt;/foreign-keys&gt;&lt;ref-type name="Journal Article"&gt;17&lt;/ref-type&gt;&lt;contributors&gt;&lt;authors&gt;&lt;author&gt;Kramer, Holly&lt;/author&gt;&lt;author&gt;Han, Cong&lt;/author&gt;&lt;author&gt;Post, Wendy&lt;/author&gt;&lt;author&gt;Goff, David&lt;/author&gt;&lt;author&gt;Diez-Roux, Ana&lt;/author&gt;&lt;author&gt;Cooper, Richard&lt;/author&gt;&lt;author&gt;Jinagouda, Sujata&lt;/author&gt;&lt;author&gt;Shea, Steven&lt;/author&gt;&lt;/authors&gt;&lt;/contributors&gt;&lt;titles&gt;&lt;title&gt;Racial/ethnic differences in hypertension and hypertension treatment and control in the multi-ethnic study of atherosclerosis (MESA)&lt;/title&gt;&lt;secondary-title&gt;American journal of hypertension&lt;/secondary-title&gt;&lt;/titles&gt;&lt;periodical&gt;&lt;full-title&gt;American journal of hypertension&lt;/full-title&gt;&lt;/periodical&gt;&lt;pages&gt;963-970&lt;/pages&gt;&lt;volume&gt;17&lt;/volume&gt;&lt;number&gt;10&lt;/number&gt;&lt;dates&gt;&lt;year&gt;2004&lt;/year&gt;&lt;/dates&gt;&lt;isbn&gt;1941-7225&lt;/isbn&gt;&lt;urls&gt;&lt;/urls&gt;&lt;/record&gt;&lt;/Cite&gt;&lt;/EndNote&gt;</w:instrText>
      </w:r>
      <w:r w:rsidR="000241FE">
        <w:fldChar w:fldCharType="separate"/>
      </w:r>
      <w:r w:rsidR="000241FE">
        <w:rPr>
          <w:noProof/>
        </w:rPr>
        <w:t>(Kramer et al., 2004)</w:t>
      </w:r>
      <w:r w:rsidR="000241FE">
        <w:fldChar w:fldCharType="end"/>
      </w:r>
      <w:r w:rsidR="000241FE">
        <w:t>,</w:t>
      </w:r>
      <w:r w:rsidR="00801160">
        <w:t xml:space="preserve"> and thus might are exposed to a higher risk of </w:t>
      </w:r>
      <w:r w:rsidR="00801160" w:rsidRPr="006D150B">
        <w:t>thrombosis</w:t>
      </w:r>
      <w:r w:rsidR="00801160">
        <w:t xml:space="preserve"> than other groups. Thus, including sickle cell disease patients might be helpful to expose the difference between A</w:t>
      </w:r>
      <w:r w:rsidR="00801160" w:rsidRPr="00D463B0">
        <w:t>nagrelide</w:t>
      </w:r>
      <w:r w:rsidR="00801160">
        <w:t xml:space="preserve"> and H</w:t>
      </w:r>
      <w:r w:rsidR="00801160" w:rsidRPr="00C74E7C">
        <w:t>ydroxyurea</w:t>
      </w:r>
      <w:r w:rsidR="00801160">
        <w:t>.</w:t>
      </w:r>
    </w:p>
    <w:p w14:paraId="156FEE92" w14:textId="0820F4D4" w:rsidR="00345542" w:rsidRDefault="00345542" w:rsidP="00345542">
      <w:pPr>
        <w:pStyle w:val="Heading2"/>
        <w:numPr>
          <w:ilvl w:val="0"/>
          <w:numId w:val="0"/>
        </w:numPr>
        <w:ind w:left="270" w:hanging="270"/>
      </w:pPr>
      <w:r>
        <w:t>REFERENCES</w:t>
      </w:r>
    </w:p>
    <w:p w14:paraId="3F530B84" w14:textId="28B1645E" w:rsidR="002C64AF" w:rsidRPr="002C64AF" w:rsidRDefault="000241FE" w:rsidP="002C64AF">
      <w:pPr>
        <w:pStyle w:val="EndNoteBibliography"/>
        <w:spacing w:after="0"/>
        <w:ind w:left="720" w:hanging="720"/>
        <w:rPr>
          <w:noProof/>
        </w:rPr>
      </w:pPr>
      <w:r>
        <w:fldChar w:fldCharType="begin"/>
      </w:r>
      <w:r>
        <w:instrText xml:space="preserve"> ADDIN EN.REFLIST </w:instrText>
      </w:r>
      <w:r>
        <w:fldChar w:fldCharType="separate"/>
      </w:r>
      <w:r w:rsidR="002C64AF" w:rsidRPr="002C64AF">
        <w:rPr>
          <w:noProof/>
        </w:rPr>
        <w:t xml:space="preserve">Drugs.com. (2019). Retrieved from </w:t>
      </w:r>
      <w:hyperlink r:id="rId8" w:history="1">
        <w:r w:rsidR="002C64AF" w:rsidRPr="002C64AF">
          <w:rPr>
            <w:rStyle w:val="Hyperlink"/>
            <w:noProof/>
          </w:rPr>
          <w:t>https://www.drugs.com/price-guide/</w:t>
        </w:r>
      </w:hyperlink>
    </w:p>
    <w:p w14:paraId="7FADF5D9" w14:textId="77777777" w:rsidR="002C64AF" w:rsidRPr="002C64AF" w:rsidRDefault="002C64AF" w:rsidP="002C64AF">
      <w:pPr>
        <w:pStyle w:val="EndNoteBibliography"/>
        <w:spacing w:after="0"/>
        <w:ind w:left="720" w:hanging="720"/>
        <w:rPr>
          <w:noProof/>
        </w:rPr>
      </w:pPr>
      <w:r w:rsidRPr="002C64AF">
        <w:rPr>
          <w:noProof/>
        </w:rPr>
        <w:t xml:space="preserve">Gisslinger, H., Gotic, M., Holowiecki, J., Penka, M., Thiele, J., Kvasnicka, H.-M., . . . Petrides, P. E. (2013). Anagrelide compared with hydroxyurea in WHO-classified essential thrombocythemia: the ANAHYDRET Study, a randomized controlled trial. </w:t>
      </w:r>
      <w:r w:rsidRPr="002C64AF">
        <w:rPr>
          <w:i/>
          <w:noProof/>
        </w:rPr>
        <w:t>Blood, The Journal of the American Society of Hematology, 121</w:t>
      </w:r>
      <w:r w:rsidRPr="002C64AF">
        <w:rPr>
          <w:noProof/>
        </w:rPr>
        <w:t xml:space="preserve">(10), 1720-1728. </w:t>
      </w:r>
    </w:p>
    <w:p w14:paraId="6B8FAD7B" w14:textId="77777777" w:rsidR="002C64AF" w:rsidRPr="002C64AF" w:rsidRDefault="002C64AF" w:rsidP="002C64AF">
      <w:pPr>
        <w:pStyle w:val="EndNoteBibliography"/>
        <w:spacing w:after="0"/>
        <w:ind w:left="720" w:hanging="720"/>
        <w:rPr>
          <w:noProof/>
        </w:rPr>
      </w:pPr>
      <w:r w:rsidRPr="002C64AF">
        <w:rPr>
          <w:noProof/>
        </w:rPr>
        <w:t xml:space="preserve">Hassell, K. L. (2010). Population estimates of sickle cell disease in the US. </w:t>
      </w:r>
      <w:r w:rsidRPr="002C64AF">
        <w:rPr>
          <w:i/>
          <w:noProof/>
        </w:rPr>
        <w:t>American journal of preventive medicine, 38</w:t>
      </w:r>
      <w:r w:rsidRPr="002C64AF">
        <w:rPr>
          <w:noProof/>
        </w:rPr>
        <w:t xml:space="preserve">(4), S512-S521. </w:t>
      </w:r>
    </w:p>
    <w:p w14:paraId="1E2889F2" w14:textId="77777777" w:rsidR="002C64AF" w:rsidRPr="002C64AF" w:rsidRDefault="002C64AF" w:rsidP="002C64AF">
      <w:pPr>
        <w:pStyle w:val="EndNoteBibliography"/>
        <w:spacing w:after="0"/>
        <w:ind w:left="720" w:hanging="720"/>
        <w:rPr>
          <w:noProof/>
        </w:rPr>
      </w:pPr>
      <w:r w:rsidRPr="002C64AF">
        <w:rPr>
          <w:noProof/>
        </w:rPr>
        <w:t xml:space="preserve">Kramer, H., Han, C., Post, W., Goff, D., Diez-Roux, A., Cooper, R., . . . Shea, S. (2004). Racial/ethnic differences in hypertension and hypertension treatment and control in the multi-ethnic study of atherosclerosis (MESA). </w:t>
      </w:r>
      <w:r w:rsidRPr="002C64AF">
        <w:rPr>
          <w:i/>
          <w:noProof/>
        </w:rPr>
        <w:t>American journal of hypertension, 17</w:t>
      </w:r>
      <w:r w:rsidRPr="002C64AF">
        <w:rPr>
          <w:noProof/>
        </w:rPr>
        <w:t xml:space="preserve">(10), 963-970. </w:t>
      </w:r>
    </w:p>
    <w:p w14:paraId="43169BA2" w14:textId="77777777" w:rsidR="002C64AF" w:rsidRPr="002C64AF" w:rsidRDefault="002C64AF" w:rsidP="002C64AF">
      <w:pPr>
        <w:pStyle w:val="EndNoteBibliography"/>
        <w:spacing w:after="0"/>
        <w:ind w:left="720" w:hanging="720"/>
        <w:rPr>
          <w:noProof/>
        </w:rPr>
      </w:pPr>
      <w:r w:rsidRPr="002C64AF">
        <w:rPr>
          <w:noProof/>
        </w:rPr>
        <w:t xml:space="preserve">Okam, M. M., Shaykevich, S., Ebert, B. L., Zaslavsky, A. M., &amp; Ayanian, J. Z. (2014). National Trends in Hospitalizations for Sickle Cell Disease in the United States following the FDA Approval of Hydroxyurea, 1998 to 2008. </w:t>
      </w:r>
      <w:r w:rsidRPr="002C64AF">
        <w:rPr>
          <w:i/>
          <w:noProof/>
        </w:rPr>
        <w:t>Medical care, 52</w:t>
      </w:r>
      <w:r w:rsidRPr="002C64AF">
        <w:rPr>
          <w:noProof/>
        </w:rPr>
        <w:t xml:space="preserve">(7), 612. </w:t>
      </w:r>
    </w:p>
    <w:p w14:paraId="7A81C2C4" w14:textId="77777777" w:rsidR="002C64AF" w:rsidRPr="002C64AF" w:rsidRDefault="002C64AF" w:rsidP="002C64AF">
      <w:pPr>
        <w:pStyle w:val="EndNoteBibliography"/>
        <w:spacing w:after="0"/>
        <w:ind w:left="720" w:hanging="720"/>
        <w:rPr>
          <w:noProof/>
        </w:rPr>
      </w:pPr>
      <w:r w:rsidRPr="002C64AF">
        <w:rPr>
          <w:noProof/>
        </w:rPr>
        <w:t xml:space="preserve">Sanchez, S., &amp; Ewton, A. (2006). Essential thrombocythemia: a review of diagnostic and pathologic features. </w:t>
      </w:r>
      <w:r w:rsidRPr="002C64AF">
        <w:rPr>
          <w:i/>
          <w:noProof/>
        </w:rPr>
        <w:t>Archives of pathology laboratory medicine, 130</w:t>
      </w:r>
      <w:r w:rsidRPr="002C64AF">
        <w:rPr>
          <w:noProof/>
        </w:rPr>
        <w:t xml:space="preserve">(8), 1144-1150. </w:t>
      </w:r>
    </w:p>
    <w:p w14:paraId="0C94C92E" w14:textId="77777777" w:rsidR="002C64AF" w:rsidRPr="002C64AF" w:rsidRDefault="002C64AF" w:rsidP="002C64AF">
      <w:pPr>
        <w:pStyle w:val="EndNoteBibliography"/>
        <w:spacing w:after="0"/>
        <w:ind w:left="720" w:hanging="720"/>
        <w:rPr>
          <w:noProof/>
        </w:rPr>
      </w:pPr>
      <w:r w:rsidRPr="002C64AF">
        <w:rPr>
          <w:noProof/>
        </w:rPr>
        <w:t xml:space="preserve">Solberg Jr, L. A., Tefferi, A., Oles, K. J., Tarach, J. S., Petitt, R. M., Forstrom, L. A., &amp; Silverstein, M. N. (1997). The effects of anagrelide on human megakaryocytopoiesis. </w:t>
      </w:r>
      <w:r w:rsidRPr="002C64AF">
        <w:rPr>
          <w:i/>
          <w:noProof/>
        </w:rPr>
        <w:t>British journal of haematology, 99</w:t>
      </w:r>
      <w:r w:rsidRPr="002C64AF">
        <w:rPr>
          <w:noProof/>
        </w:rPr>
        <w:t xml:space="preserve">(1), 174-180. </w:t>
      </w:r>
    </w:p>
    <w:p w14:paraId="74EE8371" w14:textId="77777777" w:rsidR="002C64AF" w:rsidRPr="002C64AF" w:rsidRDefault="002C64AF" w:rsidP="002C64AF">
      <w:pPr>
        <w:pStyle w:val="EndNoteBibliography"/>
        <w:spacing w:after="0"/>
        <w:ind w:left="720" w:hanging="720"/>
        <w:rPr>
          <w:noProof/>
        </w:rPr>
      </w:pPr>
      <w:r w:rsidRPr="002C64AF">
        <w:rPr>
          <w:noProof/>
        </w:rPr>
        <w:t xml:space="preserve">Spencer, C. M., &amp; Brogden, R. N. (1994). Anagrelide. </w:t>
      </w:r>
      <w:r w:rsidRPr="002C64AF">
        <w:rPr>
          <w:i/>
          <w:noProof/>
        </w:rPr>
        <w:t>Drugs, 47</w:t>
      </w:r>
      <w:r w:rsidRPr="002C64AF">
        <w:rPr>
          <w:noProof/>
        </w:rPr>
        <w:t xml:space="preserve">(5), 809-822. </w:t>
      </w:r>
    </w:p>
    <w:p w14:paraId="073AD14E" w14:textId="77777777" w:rsidR="002C64AF" w:rsidRPr="002C64AF" w:rsidRDefault="002C64AF" w:rsidP="002C64AF">
      <w:pPr>
        <w:pStyle w:val="EndNoteBibliography"/>
        <w:spacing w:after="0"/>
        <w:ind w:left="720" w:hanging="720"/>
        <w:rPr>
          <w:noProof/>
        </w:rPr>
      </w:pPr>
      <w:r w:rsidRPr="002C64AF">
        <w:rPr>
          <w:noProof/>
        </w:rPr>
        <w:t xml:space="preserve">Tefferi, A., Szuber, N., Vallapureddy, R. R., Begna, K. H., Patnaik, M. M., Elliott, M. A., . . . Ketterling, R. P. (2019). Decreased survival and increased rate of fibrotic progression in essential thrombocythemia chronicled after the FDA approval date of anagrelide. </w:t>
      </w:r>
      <w:r w:rsidRPr="002C64AF">
        <w:rPr>
          <w:i/>
          <w:noProof/>
        </w:rPr>
        <w:t>American journal of hematology, 94</w:t>
      </w:r>
      <w:r w:rsidRPr="002C64AF">
        <w:rPr>
          <w:noProof/>
        </w:rPr>
        <w:t xml:space="preserve">(1), 5-9. </w:t>
      </w:r>
    </w:p>
    <w:p w14:paraId="1C379616" w14:textId="77777777" w:rsidR="002C64AF" w:rsidRPr="002C64AF" w:rsidRDefault="002C64AF" w:rsidP="002C64AF">
      <w:pPr>
        <w:pStyle w:val="EndNoteBibliography"/>
        <w:spacing w:after="0"/>
        <w:ind w:left="720" w:hanging="720"/>
        <w:rPr>
          <w:noProof/>
        </w:rPr>
      </w:pPr>
      <w:r w:rsidRPr="002C64AF">
        <w:rPr>
          <w:noProof/>
        </w:rPr>
        <w:t xml:space="preserve">Tefferi, A., Vannucchi, A. M., &amp; Barbui, T. (2018). Essential thrombocythemia treatment algorithm 2018. </w:t>
      </w:r>
      <w:r w:rsidRPr="002C64AF">
        <w:rPr>
          <w:i/>
          <w:noProof/>
        </w:rPr>
        <w:t>Blood cancer journal, 8</w:t>
      </w:r>
      <w:r w:rsidRPr="002C64AF">
        <w:rPr>
          <w:noProof/>
        </w:rPr>
        <w:t xml:space="preserve">(1), 1-6. </w:t>
      </w:r>
    </w:p>
    <w:p w14:paraId="7312F973" w14:textId="77777777" w:rsidR="002C64AF" w:rsidRPr="002C64AF" w:rsidRDefault="002C64AF" w:rsidP="002C64AF">
      <w:pPr>
        <w:pStyle w:val="EndNoteBibliography"/>
        <w:ind w:left="720" w:hanging="720"/>
        <w:rPr>
          <w:noProof/>
        </w:rPr>
      </w:pPr>
      <w:r w:rsidRPr="002C64AF">
        <w:rPr>
          <w:noProof/>
        </w:rPr>
        <w:t xml:space="preserve">Xiong, N., Gao, W., Pan, J., Luo, X., Shi, H., &amp; Li, J. (2017). Essential thrombocythemia presenting as acute coronary syndrome: case reports and literature review. </w:t>
      </w:r>
      <w:r w:rsidRPr="002C64AF">
        <w:rPr>
          <w:i/>
          <w:noProof/>
        </w:rPr>
        <w:t>Journal of thrombosis thrombolysis, 44</w:t>
      </w:r>
      <w:r w:rsidRPr="002C64AF">
        <w:rPr>
          <w:noProof/>
        </w:rPr>
        <w:t xml:space="preserve">(1), 57-62. </w:t>
      </w:r>
    </w:p>
    <w:p w14:paraId="5D967333" w14:textId="6F8C43D3" w:rsidR="00345542" w:rsidRDefault="000241FE" w:rsidP="00495608">
      <w:r>
        <w:fldChar w:fldCharType="end"/>
      </w:r>
    </w:p>
    <w:sectPr w:rsidR="00345542" w:rsidSect="00641ADD">
      <w:headerReference w:type="even" r:id="rId9"/>
      <w:headerReference w:type="default" r:id="rId10"/>
      <w:footerReference w:type="even" r:id="rId11"/>
      <w:footerReference w:type="default" r:id="rId12"/>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BA982" w14:textId="77777777" w:rsidR="00D41FF0" w:rsidRDefault="00D41FF0" w:rsidP="00126D77">
      <w:r>
        <w:separator/>
      </w:r>
    </w:p>
  </w:endnote>
  <w:endnote w:type="continuationSeparator" w:id="0">
    <w:p w14:paraId="59BBEAAC" w14:textId="77777777" w:rsidR="00D41FF0" w:rsidRDefault="00D41FF0"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Headings CS)">
    <w:altName w:val="Times New Roman"/>
    <w:panose1 w:val="02020603050405020304"/>
    <w:charset w:val="00"/>
    <w:family w:val="roman"/>
    <w:notTrueType/>
    <w:pitch w:val="default"/>
  </w:font>
  <w:font w:name="Minion Pro">
    <w:panose1 w:val="020B0604020202020204"/>
    <w:charset w:val="00"/>
    <w:family w:val="roman"/>
    <w:pitch w:val="variable"/>
    <w:sig w:usb0="E00002AF" w:usb1="5000607B" w:usb2="00000000" w:usb3="00000000" w:csb0="0000009F" w:csb1="00000000"/>
  </w:font>
  <w:font w:name="Times New Roman (Body CS)">
    <w:altName w:val="Times New Roman"/>
    <w:panose1 w:val="020206030504050203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Crimson Text">
    <w:panose1 w:val="020B0604020202020204"/>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0950108"/>
      <w:docPartObj>
        <w:docPartGallery w:val="Page Numbers (Bottom of Page)"/>
        <w:docPartUnique/>
      </w:docPartObj>
    </w:sdtPr>
    <w:sdtEndPr>
      <w:rPr>
        <w:rStyle w:val="PageNumber"/>
      </w:rPr>
    </w:sdtEnd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71936286"/>
      <w:docPartObj>
        <w:docPartGallery w:val="Page Numbers (Bottom of Page)"/>
        <w:docPartUnique/>
      </w:docPartObj>
    </w:sdtPr>
    <w:sdtEndPr>
      <w:rPr>
        <w:rStyle w:val="PageNumber"/>
      </w:rPr>
    </w:sdtEndPr>
    <w:sdtContent>
      <w:p w14:paraId="1EE4DBC6" w14:textId="61F580DC"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801160">
          <w:rPr>
            <w:rStyle w:val="PageNumber"/>
            <w:noProof/>
          </w:rPr>
          <w:t>3</w:t>
        </w:r>
        <w:r>
          <w:rPr>
            <w:rStyle w:val="PageNumber"/>
          </w:rPr>
          <w:fldChar w:fldCharType="end"/>
        </w:r>
      </w:p>
    </w:sdtContent>
  </w:sdt>
  <w:p w14:paraId="12D8B6AE" w14:textId="77777777" w:rsidR="00641ADD" w:rsidRDefault="00641A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C4274" w14:textId="77777777" w:rsidR="00D41FF0" w:rsidRDefault="00D41FF0" w:rsidP="0060186D">
      <w:pPr>
        <w:spacing w:after="0" w:line="110" w:lineRule="exact"/>
      </w:pPr>
    </w:p>
  </w:footnote>
  <w:footnote w:type="continuationSeparator" w:id="0">
    <w:p w14:paraId="4A3F4857" w14:textId="77777777" w:rsidR="00D41FF0" w:rsidRPr="00BB7AEF" w:rsidRDefault="00D41FF0" w:rsidP="00BB7AEF">
      <w:pPr>
        <w:spacing w:after="0" w:line="20" w:lineRule="exact"/>
        <w:rPr>
          <w:sz w:val="2"/>
        </w:rPr>
      </w:pPr>
    </w:p>
  </w:footnote>
  <w:footnote w:type="continuationNotice" w:id="1">
    <w:p w14:paraId="04AAA1A3" w14:textId="77777777" w:rsidR="00D41FF0" w:rsidRPr="00AE67B5" w:rsidRDefault="00D41FF0"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10985600"/>
      <w:docPartObj>
        <w:docPartGallery w:val="Page Numbers (Top of Page)"/>
        <w:docPartUnique/>
      </w:docPartObj>
    </w:sdtPr>
    <w:sdtEndPr>
      <w:rPr>
        <w:rStyle w:val="PageNumber"/>
      </w:rPr>
    </w:sdtEnd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36B99" w14:textId="77777777" w:rsidR="006D3558" w:rsidRDefault="006D3558" w:rsidP="0002420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D4F45F1"/>
    <w:multiLevelType w:val="multilevel"/>
    <w:tmpl w:val="063C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22DD38F1"/>
    <w:multiLevelType w:val="hybridMultilevel"/>
    <w:tmpl w:val="3A0AFF14"/>
    <w:lvl w:ilvl="0" w:tplc="26F4EC82">
      <w:start w:val="3"/>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915BD8"/>
    <w:multiLevelType w:val="hybridMultilevel"/>
    <w:tmpl w:val="669A9AF4"/>
    <w:lvl w:ilvl="0" w:tplc="88E67CC0">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32"/>
  </w:num>
  <w:num w:numId="3">
    <w:abstractNumId w:val="27"/>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6"/>
  </w:num>
  <w:num w:numId="6">
    <w:abstractNumId w:val="16"/>
  </w:num>
  <w:num w:numId="7">
    <w:abstractNumId w:val="34"/>
  </w:num>
  <w:num w:numId="8">
    <w:abstractNumId w:val="8"/>
  </w:num>
  <w:num w:numId="9">
    <w:abstractNumId w:val="35"/>
  </w:num>
  <w:num w:numId="10">
    <w:abstractNumId w:val="15"/>
  </w:num>
  <w:num w:numId="11">
    <w:abstractNumId w:val="11"/>
  </w:num>
  <w:num w:numId="12">
    <w:abstractNumId w:val="28"/>
  </w:num>
  <w:num w:numId="13">
    <w:abstractNumId w:val="14"/>
  </w:num>
  <w:num w:numId="14">
    <w:abstractNumId w:val="31"/>
  </w:num>
  <w:num w:numId="15">
    <w:abstractNumId w:val="38"/>
  </w:num>
  <w:num w:numId="16">
    <w:abstractNumId w:val="36"/>
    <w:lvlOverride w:ilvl="0">
      <w:startOverride w:val="1"/>
    </w:lvlOverride>
  </w:num>
  <w:num w:numId="17">
    <w:abstractNumId w:val="36"/>
    <w:lvlOverride w:ilvl="0">
      <w:startOverride w:val="1"/>
    </w:lvlOverride>
  </w:num>
  <w:num w:numId="18">
    <w:abstractNumId w:val="36"/>
    <w:lvlOverride w:ilvl="0">
      <w:startOverride w:val="1"/>
    </w:lvlOverride>
  </w:num>
  <w:num w:numId="19">
    <w:abstractNumId w:val="36"/>
    <w:lvlOverride w:ilvl="0">
      <w:startOverride w:val="1"/>
    </w:lvlOverride>
  </w:num>
  <w:num w:numId="20">
    <w:abstractNumId w:val="36"/>
    <w:lvlOverride w:ilvl="0">
      <w:startOverride w:val="1"/>
    </w:lvlOverride>
  </w:num>
  <w:num w:numId="21">
    <w:abstractNumId w:val="36"/>
    <w:lvlOverride w:ilvl="0">
      <w:startOverride w:val="1"/>
    </w:lvlOverride>
  </w:num>
  <w:num w:numId="22">
    <w:abstractNumId w:val="0"/>
  </w:num>
  <w:num w:numId="23">
    <w:abstractNumId w:val="29"/>
  </w:num>
  <w:num w:numId="24">
    <w:abstractNumId w:val="29"/>
    <w:lvlOverride w:ilvl="0">
      <w:startOverride w:val="1"/>
    </w:lvlOverride>
  </w:num>
  <w:num w:numId="25">
    <w:abstractNumId w:val="37"/>
  </w:num>
  <w:num w:numId="26">
    <w:abstractNumId w:val="7"/>
  </w:num>
  <w:num w:numId="27">
    <w:abstractNumId w:val="19"/>
  </w:num>
  <w:num w:numId="28">
    <w:abstractNumId w:val="20"/>
  </w:num>
  <w:num w:numId="29">
    <w:abstractNumId w:val="5"/>
  </w:num>
  <w:num w:numId="30">
    <w:abstractNumId w:val="2"/>
  </w:num>
  <w:num w:numId="31">
    <w:abstractNumId w:val="13"/>
  </w:num>
  <w:num w:numId="32">
    <w:abstractNumId w:val="17"/>
  </w:num>
  <w:num w:numId="33">
    <w:abstractNumId w:val="1"/>
  </w:num>
  <w:num w:numId="34">
    <w:abstractNumId w:val="18"/>
  </w:num>
  <w:num w:numId="35">
    <w:abstractNumId w:val="22"/>
  </w:num>
  <w:num w:numId="36">
    <w:abstractNumId w:val="10"/>
  </w:num>
  <w:num w:numId="37">
    <w:abstractNumId w:val="30"/>
  </w:num>
  <w:num w:numId="38">
    <w:abstractNumId w:val="25"/>
  </w:num>
  <w:num w:numId="39">
    <w:abstractNumId w:val="24"/>
  </w:num>
  <w:num w:numId="40">
    <w:abstractNumId w:val="21"/>
  </w:num>
  <w:num w:numId="41">
    <w:abstractNumId w:val="12"/>
  </w:num>
  <w:num w:numId="42">
    <w:abstractNumId w:val="26"/>
  </w:num>
  <w:num w:numId="43">
    <w:abstractNumId w:val="39"/>
  </w:num>
  <w:num w:numId="44">
    <w:abstractNumId w:val="23"/>
  </w:num>
  <w:num w:numId="45">
    <w:abstractNumId w:val="40"/>
  </w:num>
  <w:num w:numId="46">
    <w:abstractNumId w:val="33"/>
  </w:num>
  <w:num w:numId="47">
    <w:abstractNumId w:val="4"/>
  </w:num>
  <w:num w:numId="48">
    <w:abstractNumId w:val="9"/>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autoHyphenation/>
  <w:consecutiveHyphenLimit w:val="2"/>
  <w:doNotHyphenateCaps/>
  <w:defaultTableStyle w:val="JDF"/>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Palatino Linotype&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tpw5t0cdf0a8eteflpsvsb2svtefpwvew0&quot;&gt;hxia40 - Deliverable_1&lt;record-ids&gt;&lt;item&gt;36&lt;/item&gt;&lt;item&gt;37&lt;/item&gt;&lt;item&gt;38&lt;/item&gt;&lt;item&gt;39&lt;/item&gt;&lt;item&gt;40&lt;/item&gt;&lt;item&gt;41&lt;/item&gt;&lt;item&gt;42&lt;/item&gt;&lt;item&gt;43&lt;/item&gt;&lt;item&gt;44&lt;/item&gt;&lt;item&gt;45&lt;/item&gt;&lt;item&gt;46&lt;/item&gt;&lt;/record-ids&gt;&lt;/item&gt;&lt;/Libraries&gt;"/>
  </w:docVars>
  <w:rsids>
    <w:rsidRoot w:val="00805D71"/>
    <w:rsid w:val="00000146"/>
    <w:rsid w:val="00002321"/>
    <w:rsid w:val="000107FF"/>
    <w:rsid w:val="000115A8"/>
    <w:rsid w:val="00015661"/>
    <w:rsid w:val="0001758E"/>
    <w:rsid w:val="00020CE7"/>
    <w:rsid w:val="000227CF"/>
    <w:rsid w:val="000241FE"/>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7ECF"/>
    <w:rsid w:val="001226B8"/>
    <w:rsid w:val="00124EC2"/>
    <w:rsid w:val="00126D77"/>
    <w:rsid w:val="00131354"/>
    <w:rsid w:val="00132FF3"/>
    <w:rsid w:val="00135B1D"/>
    <w:rsid w:val="001366F3"/>
    <w:rsid w:val="00141B95"/>
    <w:rsid w:val="001468F9"/>
    <w:rsid w:val="0014733E"/>
    <w:rsid w:val="00150453"/>
    <w:rsid w:val="001508F7"/>
    <w:rsid w:val="00151FB5"/>
    <w:rsid w:val="00155D9A"/>
    <w:rsid w:val="00156F11"/>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2A98"/>
    <w:rsid w:val="002B63CA"/>
    <w:rsid w:val="002B64D6"/>
    <w:rsid w:val="002B7FCB"/>
    <w:rsid w:val="002C0838"/>
    <w:rsid w:val="002C10B1"/>
    <w:rsid w:val="002C1730"/>
    <w:rsid w:val="002C231C"/>
    <w:rsid w:val="002C2EA0"/>
    <w:rsid w:val="002C6457"/>
    <w:rsid w:val="002C64AF"/>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45542"/>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2377"/>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87F"/>
    <w:rsid w:val="003E7050"/>
    <w:rsid w:val="003F7B8C"/>
    <w:rsid w:val="004027C6"/>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36089"/>
    <w:rsid w:val="00437F22"/>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725D"/>
    <w:rsid w:val="004F0C8B"/>
    <w:rsid w:val="004F2849"/>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150B"/>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87A43"/>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1160"/>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32A31"/>
    <w:rsid w:val="00941BF5"/>
    <w:rsid w:val="009431E6"/>
    <w:rsid w:val="00947290"/>
    <w:rsid w:val="009476F0"/>
    <w:rsid w:val="0095024D"/>
    <w:rsid w:val="00951C77"/>
    <w:rsid w:val="009540A3"/>
    <w:rsid w:val="00956BD3"/>
    <w:rsid w:val="00957B31"/>
    <w:rsid w:val="00957FDD"/>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4AA"/>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4E7C"/>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1FF0"/>
    <w:rsid w:val="00D4250D"/>
    <w:rsid w:val="00D4270E"/>
    <w:rsid w:val="00D42A2A"/>
    <w:rsid w:val="00D45525"/>
    <w:rsid w:val="00D463B0"/>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6A93"/>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2536"/>
    <w:pPr>
      <w:spacing w:after="170" w:line="340" w:lineRule="exact"/>
      <w:jc w:val="both"/>
    </w:pPr>
    <w:rPr>
      <w:rFonts w:ascii="Palatino Linotype" w:eastAsia="Times New Roman" w:hAnsi="Palatino Linotype" w:cs="Times New Roman"/>
      <w:spacing w:val="1"/>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B4491E"/>
    <w:pPr>
      <w:keepNext/>
      <w:keepLines/>
      <w:numPr>
        <w:numId w:val="36"/>
      </w:numPr>
      <w:suppressAutoHyphens/>
      <w:spacing w:before="220"/>
      <w:outlineLvl w:val="0"/>
    </w:pPr>
    <w:rPr>
      <w:rFonts w:eastAsiaTheme="majorEastAsia" w:cs="Times New Roman (Headings CS)"/>
      <w:b/>
      <w:caps/>
      <w:spacing w:val="11"/>
      <w:szCs w:val="48"/>
      <w14:numForm w14:val="lining"/>
      <w14:numSpacing w14:val="tabular"/>
    </w:rPr>
  </w:style>
  <w:style w:type="paragraph" w:styleId="Heading2">
    <w:name w:val="heading 2"/>
    <w:basedOn w:val="Normal"/>
    <w:next w:val="Normal"/>
    <w:link w:val="Heading2Char"/>
    <w:autoRedefine/>
    <w:uiPriority w:val="9"/>
    <w:unhideWhenUsed/>
    <w:qFormat/>
    <w:rsid w:val="00345542"/>
    <w:pPr>
      <w:keepNext/>
      <w:keepLines/>
      <w:numPr>
        <w:numId w:val="48"/>
      </w:numPr>
      <w:suppressAutoHyphens/>
      <w:spacing w:before="170"/>
      <w:ind w:left="270" w:hanging="2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customStyle="1" w:styleId="UnresolvedMention1">
    <w:name w:val="Unresolved Mention1"/>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B4491E"/>
    <w:rPr>
      <w:rFonts w:ascii="Palatino Linotype" w:eastAsiaTheme="majorEastAsia" w:hAnsi="Palatino Linotype" w:cs="Times New Roman (Headings CS)"/>
      <w:b/>
      <w:caps/>
      <w:spacing w:val="11"/>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345542"/>
    <w:rPr>
      <w:rFonts w:ascii="Palatino Linotype" w:eastAsiaTheme="majorEastAsia" w:hAnsi="Palatino Linotype" w:cs="Times New Roman (Headings CS)"/>
      <w:b/>
      <w:color w:val="000000"/>
      <w:spacing w:val="1"/>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F06BB2"/>
    <w:pPr>
      <w:spacing w:after="110" w:line="280" w:lineRule="exact"/>
      <w:ind w:left="1440" w:right="1440"/>
    </w:pPr>
    <w:rPr>
      <w:bCs/>
      <w:spacing w:val="2"/>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F06BB2"/>
    <w:rPr>
      <w:rFonts w:ascii="Palatino Linotype" w:eastAsia="Times New Roman" w:hAnsi="Palatino Linotype" w:cs="Times New Roman"/>
      <w:bCs/>
      <w:spacing w:val="2"/>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425FB1"/>
    <w:pPr>
      <w:numPr>
        <w:numId w:val="44"/>
      </w:numPr>
      <w:tabs>
        <w:tab w:val="left" w:pos="2250"/>
      </w:tabs>
      <w:ind w:firstLine="0"/>
    </w:pPr>
  </w:style>
  <w:style w:type="paragraph" w:customStyle="1" w:styleId="TableCaption">
    <w:name w:val="Table Caption"/>
    <w:basedOn w:val="CaptionText"/>
    <w:qFormat/>
    <w:rsid w:val="00F06BB2"/>
    <w:pPr>
      <w:numPr>
        <w:numId w:val="46"/>
      </w:numPr>
    </w:pPr>
  </w:style>
  <w:style w:type="character" w:styleId="CommentReference">
    <w:name w:val="annotation reference"/>
    <w:basedOn w:val="DefaultParagraphFont"/>
    <w:uiPriority w:val="99"/>
    <w:semiHidden/>
    <w:unhideWhenUsed/>
    <w:rsid w:val="002C0838"/>
    <w:rPr>
      <w:sz w:val="16"/>
      <w:szCs w:val="16"/>
    </w:rPr>
  </w:style>
  <w:style w:type="paragraph" w:styleId="CommentText">
    <w:name w:val="annotation text"/>
    <w:basedOn w:val="Normal"/>
    <w:link w:val="CommentTextChar"/>
    <w:uiPriority w:val="99"/>
    <w:semiHidden/>
    <w:unhideWhenUsed/>
    <w:rsid w:val="002C0838"/>
    <w:pPr>
      <w:spacing w:line="240" w:lineRule="auto"/>
    </w:pPr>
    <w:rPr>
      <w:sz w:val="20"/>
      <w:szCs w:val="20"/>
    </w:rPr>
  </w:style>
  <w:style w:type="character" w:customStyle="1" w:styleId="CommentTextChar">
    <w:name w:val="Comment Text Char"/>
    <w:basedOn w:val="DefaultParagraphFont"/>
    <w:link w:val="CommentText"/>
    <w:uiPriority w:val="99"/>
    <w:semiHidden/>
    <w:rsid w:val="002C0838"/>
    <w:rPr>
      <w:rFonts w:ascii="Palatino Linotype" w:eastAsia="Times New Roman" w:hAnsi="Palatino Linotype" w:cs="Times New Roman"/>
      <w:spacing w:val="1"/>
      <w:kern w:val="16"/>
      <w:sz w:val="20"/>
      <w:szCs w:val="20"/>
      <w14:ligatures w14:val="standardContextual"/>
      <w14:numForm w14:val="oldStyle"/>
      <w14:numSpacing w14:val="proportional"/>
    </w:rPr>
  </w:style>
  <w:style w:type="paragraph" w:styleId="CommentSubject">
    <w:name w:val="annotation subject"/>
    <w:basedOn w:val="CommentText"/>
    <w:next w:val="CommentText"/>
    <w:link w:val="CommentSubjectChar"/>
    <w:uiPriority w:val="99"/>
    <w:semiHidden/>
    <w:unhideWhenUsed/>
    <w:rsid w:val="002C0838"/>
    <w:rPr>
      <w:b/>
      <w:bCs/>
    </w:rPr>
  </w:style>
  <w:style w:type="character" w:customStyle="1" w:styleId="CommentSubjectChar">
    <w:name w:val="Comment Subject Char"/>
    <w:basedOn w:val="CommentTextChar"/>
    <w:link w:val="CommentSubject"/>
    <w:uiPriority w:val="99"/>
    <w:semiHidden/>
    <w:rsid w:val="002C0838"/>
    <w:rPr>
      <w:rFonts w:ascii="Palatino Linotype" w:eastAsia="Times New Roman" w:hAnsi="Palatino Linotype" w:cs="Times New Roman"/>
      <w:b/>
      <w:bCs/>
      <w:spacing w:val="1"/>
      <w:kern w:val="16"/>
      <w:sz w:val="20"/>
      <w:szCs w:val="20"/>
      <w14:ligatures w14:val="standardContextual"/>
      <w14:numForm w14:val="oldStyle"/>
      <w14:numSpacing w14:val="proportional"/>
    </w:rPr>
  </w:style>
  <w:style w:type="character" w:customStyle="1" w:styleId="gsct1">
    <w:name w:val="gs_ct1"/>
    <w:basedOn w:val="DefaultParagraphFont"/>
    <w:rsid w:val="00436089"/>
  </w:style>
  <w:style w:type="paragraph" w:customStyle="1" w:styleId="EndNoteBibliographyTitle">
    <w:name w:val="EndNote Bibliography Title"/>
    <w:basedOn w:val="Normal"/>
    <w:link w:val="EndNoteBibliographyTitleChar"/>
    <w:rsid w:val="000241FE"/>
    <w:pPr>
      <w:spacing w:after="0"/>
      <w:jc w:val="center"/>
    </w:pPr>
  </w:style>
  <w:style w:type="character" w:customStyle="1" w:styleId="EndNoteBibliographyTitleChar">
    <w:name w:val="EndNote Bibliography Title Char"/>
    <w:basedOn w:val="DefaultParagraphFont"/>
    <w:link w:val="EndNoteBibliographyTitle"/>
    <w:rsid w:val="000241FE"/>
    <w:rPr>
      <w:rFonts w:ascii="Palatino Linotype" w:eastAsia="Times New Roman" w:hAnsi="Palatino Linotype" w:cs="Times New Roman"/>
      <w:spacing w:val="1"/>
      <w:kern w:val="16"/>
      <w14:ligatures w14:val="standardContextual"/>
      <w14:numForm w14:val="oldStyle"/>
      <w14:numSpacing w14:val="proportional"/>
    </w:rPr>
  </w:style>
  <w:style w:type="paragraph" w:customStyle="1" w:styleId="EndNoteBibliography">
    <w:name w:val="EndNote Bibliography"/>
    <w:basedOn w:val="Normal"/>
    <w:link w:val="EndNoteBibliographyChar"/>
    <w:rsid w:val="000241FE"/>
    <w:pPr>
      <w:spacing w:line="240" w:lineRule="exact"/>
    </w:pPr>
  </w:style>
  <w:style w:type="character" w:customStyle="1" w:styleId="EndNoteBibliographyChar">
    <w:name w:val="EndNote Bibliography Char"/>
    <w:basedOn w:val="DefaultParagraphFont"/>
    <w:link w:val="EndNoteBibliography"/>
    <w:rsid w:val="000241FE"/>
    <w:rPr>
      <w:rFonts w:ascii="Palatino Linotype" w:eastAsia="Times New Roman" w:hAnsi="Palatino Linotype" w:cs="Times New Roman"/>
      <w:spacing w:val="1"/>
      <w:kern w:val="16"/>
      <w14:ligatures w14:val="standardContextual"/>
      <w14:numForm w14:val="oldStyle"/>
      <w14:numSpacing w14:val="proportional"/>
    </w:rPr>
  </w:style>
  <w:style w:type="character" w:styleId="UnresolvedMention">
    <w:name w:val="Unresolved Mention"/>
    <w:basedOn w:val="DefaultParagraphFont"/>
    <w:uiPriority w:val="99"/>
    <w:semiHidden/>
    <w:unhideWhenUsed/>
    <w:rsid w:val="000241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59132482">
      <w:bodyDiv w:val="1"/>
      <w:marLeft w:val="0"/>
      <w:marRight w:val="0"/>
      <w:marTop w:val="0"/>
      <w:marBottom w:val="0"/>
      <w:divBdr>
        <w:top w:val="none" w:sz="0" w:space="0" w:color="auto"/>
        <w:left w:val="none" w:sz="0" w:space="0" w:color="auto"/>
        <w:bottom w:val="none" w:sz="0" w:space="0" w:color="auto"/>
        <w:right w:val="none" w:sz="0" w:space="0" w:color="auto"/>
      </w:divBdr>
      <w:divsChild>
        <w:div w:id="1645886939">
          <w:marLeft w:val="0"/>
          <w:marRight w:val="0"/>
          <w:marTop w:val="30"/>
          <w:marBottom w:val="30"/>
          <w:divBdr>
            <w:top w:val="none" w:sz="0" w:space="0" w:color="auto"/>
            <w:left w:val="none" w:sz="0" w:space="0" w:color="auto"/>
            <w:bottom w:val="none" w:sz="0" w:space="0" w:color="auto"/>
            <w:right w:val="none" w:sz="0" w:space="0" w:color="auto"/>
          </w:divBdr>
        </w:div>
      </w:divsChild>
    </w:div>
    <w:div w:id="145168864">
      <w:bodyDiv w:val="1"/>
      <w:marLeft w:val="0"/>
      <w:marRight w:val="0"/>
      <w:marTop w:val="0"/>
      <w:marBottom w:val="0"/>
      <w:divBdr>
        <w:top w:val="none" w:sz="0" w:space="0" w:color="auto"/>
        <w:left w:val="none" w:sz="0" w:space="0" w:color="auto"/>
        <w:bottom w:val="none" w:sz="0" w:space="0" w:color="auto"/>
        <w:right w:val="none" w:sz="0" w:space="0" w:color="auto"/>
      </w:divBdr>
      <w:divsChild>
        <w:div w:id="1086075547">
          <w:marLeft w:val="0"/>
          <w:marRight w:val="0"/>
          <w:marTop w:val="0"/>
          <w:marBottom w:val="0"/>
          <w:divBdr>
            <w:top w:val="none" w:sz="0" w:space="0" w:color="auto"/>
            <w:left w:val="none" w:sz="0" w:space="0" w:color="auto"/>
            <w:bottom w:val="none" w:sz="0" w:space="0" w:color="auto"/>
            <w:right w:val="none" w:sz="0" w:space="0" w:color="auto"/>
          </w:divBdr>
          <w:divsChild>
            <w:div w:id="1080177005">
              <w:marLeft w:val="0"/>
              <w:marRight w:val="0"/>
              <w:marTop w:val="0"/>
              <w:marBottom w:val="0"/>
              <w:divBdr>
                <w:top w:val="none" w:sz="0" w:space="0" w:color="auto"/>
                <w:left w:val="none" w:sz="0" w:space="0" w:color="auto"/>
                <w:bottom w:val="none" w:sz="0" w:space="0" w:color="auto"/>
                <w:right w:val="none" w:sz="0" w:space="0" w:color="auto"/>
              </w:divBdr>
            </w:div>
            <w:div w:id="1063529583">
              <w:marLeft w:val="0"/>
              <w:marRight w:val="0"/>
              <w:marTop w:val="0"/>
              <w:marBottom w:val="0"/>
              <w:divBdr>
                <w:top w:val="none" w:sz="0" w:space="0" w:color="auto"/>
                <w:left w:val="none" w:sz="0" w:space="0" w:color="auto"/>
                <w:bottom w:val="none" w:sz="0" w:space="0" w:color="auto"/>
                <w:right w:val="none" w:sz="0" w:space="0" w:color="auto"/>
              </w:divBdr>
            </w:div>
          </w:divsChild>
        </w:div>
        <w:div w:id="981618838">
          <w:marLeft w:val="0"/>
          <w:marRight w:val="0"/>
          <w:marTop w:val="0"/>
          <w:marBottom w:val="0"/>
          <w:divBdr>
            <w:top w:val="none" w:sz="0" w:space="0" w:color="auto"/>
            <w:left w:val="none" w:sz="0" w:space="0" w:color="auto"/>
            <w:bottom w:val="none" w:sz="0" w:space="0" w:color="auto"/>
            <w:right w:val="none" w:sz="0" w:space="0" w:color="auto"/>
          </w:divBdr>
          <w:divsChild>
            <w:div w:id="160707442">
              <w:marLeft w:val="0"/>
              <w:marRight w:val="0"/>
              <w:marTop w:val="0"/>
              <w:marBottom w:val="0"/>
              <w:divBdr>
                <w:top w:val="none" w:sz="0" w:space="0" w:color="auto"/>
                <w:left w:val="none" w:sz="0" w:space="0" w:color="auto"/>
                <w:bottom w:val="none" w:sz="0" w:space="0" w:color="auto"/>
                <w:right w:val="none" w:sz="0" w:space="0" w:color="auto"/>
              </w:divBdr>
            </w:div>
            <w:div w:id="828324993">
              <w:marLeft w:val="0"/>
              <w:marRight w:val="0"/>
              <w:marTop w:val="0"/>
              <w:marBottom w:val="0"/>
              <w:divBdr>
                <w:top w:val="none" w:sz="0" w:space="0" w:color="auto"/>
                <w:left w:val="none" w:sz="0" w:space="0" w:color="auto"/>
                <w:bottom w:val="none" w:sz="0" w:space="0" w:color="auto"/>
                <w:right w:val="none" w:sz="0" w:space="0" w:color="auto"/>
              </w:divBdr>
            </w:div>
          </w:divsChild>
        </w:div>
        <w:div w:id="1248029317">
          <w:marLeft w:val="0"/>
          <w:marRight w:val="0"/>
          <w:marTop w:val="0"/>
          <w:marBottom w:val="0"/>
          <w:divBdr>
            <w:top w:val="none" w:sz="0" w:space="0" w:color="auto"/>
            <w:left w:val="none" w:sz="0" w:space="0" w:color="auto"/>
            <w:bottom w:val="none" w:sz="0" w:space="0" w:color="auto"/>
            <w:right w:val="none" w:sz="0" w:space="0" w:color="auto"/>
          </w:divBdr>
          <w:divsChild>
            <w:div w:id="489954478">
              <w:marLeft w:val="0"/>
              <w:marRight w:val="0"/>
              <w:marTop w:val="0"/>
              <w:marBottom w:val="0"/>
              <w:divBdr>
                <w:top w:val="none" w:sz="0" w:space="0" w:color="auto"/>
                <w:left w:val="none" w:sz="0" w:space="0" w:color="auto"/>
                <w:bottom w:val="none" w:sz="0" w:space="0" w:color="auto"/>
                <w:right w:val="none" w:sz="0" w:space="0" w:color="auto"/>
              </w:divBdr>
            </w:div>
            <w:div w:id="14692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7305253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42547025">
      <w:bodyDiv w:val="1"/>
      <w:marLeft w:val="0"/>
      <w:marRight w:val="0"/>
      <w:marTop w:val="0"/>
      <w:marBottom w:val="0"/>
      <w:divBdr>
        <w:top w:val="none" w:sz="0" w:space="0" w:color="auto"/>
        <w:left w:val="none" w:sz="0" w:space="0" w:color="auto"/>
        <w:bottom w:val="none" w:sz="0" w:space="0" w:color="auto"/>
        <w:right w:val="none" w:sz="0" w:space="0" w:color="auto"/>
      </w:divBdr>
      <w:divsChild>
        <w:div w:id="131098442">
          <w:marLeft w:val="0"/>
          <w:marRight w:val="0"/>
          <w:marTop w:val="30"/>
          <w:marBottom w:val="30"/>
          <w:divBdr>
            <w:top w:val="none" w:sz="0" w:space="0" w:color="auto"/>
            <w:left w:val="none" w:sz="0" w:space="0" w:color="auto"/>
            <w:bottom w:val="none" w:sz="0" w:space="0" w:color="auto"/>
            <w:right w:val="none" w:sz="0" w:space="0" w:color="auto"/>
          </w:divBdr>
        </w:div>
      </w:divsChild>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58990615">
      <w:bodyDiv w:val="1"/>
      <w:marLeft w:val="0"/>
      <w:marRight w:val="0"/>
      <w:marTop w:val="0"/>
      <w:marBottom w:val="0"/>
      <w:divBdr>
        <w:top w:val="none" w:sz="0" w:space="0" w:color="auto"/>
        <w:left w:val="none" w:sz="0" w:space="0" w:color="auto"/>
        <w:bottom w:val="none" w:sz="0" w:space="0" w:color="auto"/>
        <w:right w:val="none" w:sz="0" w:space="0" w:color="auto"/>
      </w:divBdr>
      <w:divsChild>
        <w:div w:id="1941982187">
          <w:marLeft w:val="0"/>
          <w:marRight w:val="0"/>
          <w:marTop w:val="0"/>
          <w:marBottom w:val="0"/>
          <w:divBdr>
            <w:top w:val="none" w:sz="0" w:space="0" w:color="auto"/>
            <w:left w:val="none" w:sz="0" w:space="0" w:color="auto"/>
            <w:bottom w:val="none" w:sz="0" w:space="0" w:color="auto"/>
            <w:right w:val="none" w:sz="0" w:space="0" w:color="auto"/>
          </w:divBdr>
          <w:divsChild>
            <w:div w:id="516043921">
              <w:marLeft w:val="0"/>
              <w:marRight w:val="0"/>
              <w:marTop w:val="0"/>
              <w:marBottom w:val="0"/>
              <w:divBdr>
                <w:top w:val="none" w:sz="0" w:space="0" w:color="auto"/>
                <w:left w:val="none" w:sz="0" w:space="0" w:color="auto"/>
                <w:bottom w:val="none" w:sz="0" w:space="0" w:color="auto"/>
                <w:right w:val="none" w:sz="0" w:space="0" w:color="auto"/>
              </w:divBdr>
            </w:div>
            <w:div w:id="787235374">
              <w:marLeft w:val="0"/>
              <w:marRight w:val="0"/>
              <w:marTop w:val="0"/>
              <w:marBottom w:val="0"/>
              <w:divBdr>
                <w:top w:val="none" w:sz="0" w:space="0" w:color="auto"/>
                <w:left w:val="none" w:sz="0" w:space="0" w:color="auto"/>
                <w:bottom w:val="none" w:sz="0" w:space="0" w:color="auto"/>
                <w:right w:val="none" w:sz="0" w:space="0" w:color="auto"/>
              </w:divBdr>
            </w:div>
          </w:divsChild>
        </w:div>
        <w:div w:id="463541262">
          <w:marLeft w:val="0"/>
          <w:marRight w:val="0"/>
          <w:marTop w:val="0"/>
          <w:marBottom w:val="0"/>
          <w:divBdr>
            <w:top w:val="none" w:sz="0" w:space="0" w:color="auto"/>
            <w:left w:val="none" w:sz="0" w:space="0" w:color="auto"/>
            <w:bottom w:val="none" w:sz="0" w:space="0" w:color="auto"/>
            <w:right w:val="none" w:sz="0" w:space="0" w:color="auto"/>
          </w:divBdr>
          <w:divsChild>
            <w:div w:id="321080960">
              <w:marLeft w:val="0"/>
              <w:marRight w:val="0"/>
              <w:marTop w:val="0"/>
              <w:marBottom w:val="0"/>
              <w:divBdr>
                <w:top w:val="none" w:sz="0" w:space="0" w:color="auto"/>
                <w:left w:val="none" w:sz="0" w:space="0" w:color="auto"/>
                <w:bottom w:val="none" w:sz="0" w:space="0" w:color="auto"/>
                <w:right w:val="none" w:sz="0" w:space="0" w:color="auto"/>
              </w:divBdr>
            </w:div>
            <w:div w:id="389692107">
              <w:marLeft w:val="0"/>
              <w:marRight w:val="0"/>
              <w:marTop w:val="0"/>
              <w:marBottom w:val="0"/>
              <w:divBdr>
                <w:top w:val="none" w:sz="0" w:space="0" w:color="auto"/>
                <w:left w:val="none" w:sz="0" w:space="0" w:color="auto"/>
                <w:bottom w:val="none" w:sz="0" w:space="0" w:color="auto"/>
                <w:right w:val="none" w:sz="0" w:space="0" w:color="auto"/>
              </w:divBdr>
            </w:div>
          </w:divsChild>
        </w:div>
        <w:div w:id="1552767781">
          <w:marLeft w:val="0"/>
          <w:marRight w:val="0"/>
          <w:marTop w:val="0"/>
          <w:marBottom w:val="0"/>
          <w:divBdr>
            <w:top w:val="none" w:sz="0" w:space="0" w:color="auto"/>
            <w:left w:val="none" w:sz="0" w:space="0" w:color="auto"/>
            <w:bottom w:val="none" w:sz="0" w:space="0" w:color="auto"/>
            <w:right w:val="none" w:sz="0" w:space="0" w:color="auto"/>
          </w:divBdr>
          <w:divsChild>
            <w:div w:id="1911378490">
              <w:marLeft w:val="0"/>
              <w:marRight w:val="0"/>
              <w:marTop w:val="0"/>
              <w:marBottom w:val="0"/>
              <w:divBdr>
                <w:top w:val="none" w:sz="0" w:space="0" w:color="auto"/>
                <w:left w:val="none" w:sz="0" w:space="0" w:color="auto"/>
                <w:bottom w:val="none" w:sz="0" w:space="0" w:color="auto"/>
                <w:right w:val="none" w:sz="0" w:space="0" w:color="auto"/>
              </w:divBdr>
            </w:div>
            <w:div w:id="3596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29661780">
      <w:bodyDiv w:val="1"/>
      <w:marLeft w:val="0"/>
      <w:marRight w:val="0"/>
      <w:marTop w:val="0"/>
      <w:marBottom w:val="0"/>
      <w:divBdr>
        <w:top w:val="none" w:sz="0" w:space="0" w:color="auto"/>
        <w:left w:val="none" w:sz="0" w:space="0" w:color="auto"/>
        <w:bottom w:val="none" w:sz="0" w:space="0" w:color="auto"/>
        <w:right w:val="none" w:sz="0" w:space="0" w:color="auto"/>
      </w:divBdr>
      <w:divsChild>
        <w:div w:id="8794928">
          <w:marLeft w:val="0"/>
          <w:marRight w:val="0"/>
          <w:marTop w:val="30"/>
          <w:marBottom w:val="30"/>
          <w:divBdr>
            <w:top w:val="none" w:sz="0" w:space="0" w:color="auto"/>
            <w:left w:val="none" w:sz="0" w:space="0" w:color="auto"/>
            <w:bottom w:val="none" w:sz="0" w:space="0" w:color="auto"/>
            <w:right w:val="none" w:sz="0" w:space="0" w:color="auto"/>
          </w:divBdr>
        </w:div>
      </w:divsChild>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48977812">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ugs.com/price-gui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726CE-7653-4F48-82C3-660042526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547</TotalTime>
  <Pages>3</Pages>
  <Words>2690</Words>
  <Characters>15337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Xia Hui</cp:lastModifiedBy>
  <cp:revision>20</cp:revision>
  <cp:lastPrinted>2019-05-10T20:56:00Z</cp:lastPrinted>
  <dcterms:created xsi:type="dcterms:W3CDTF">2019-05-10T20:56:00Z</dcterms:created>
  <dcterms:modified xsi:type="dcterms:W3CDTF">2020-02-03T07:39:00Z</dcterms:modified>
</cp:coreProperties>
</file>