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F43CD" w14:textId="2B2B87A4" w:rsidR="00FF7B33" w:rsidRPr="00951C77" w:rsidRDefault="00345542" w:rsidP="00951C77">
      <w:pPr>
        <w:pStyle w:val="Title"/>
      </w:pPr>
      <w:r w:rsidRPr="00345542">
        <w:t>Deliverable 1 – Health Analytics Project Proposal</w:t>
      </w:r>
    </w:p>
    <w:p w14:paraId="5F871ED8" w14:textId="15EC90F2" w:rsidR="00FF7B33" w:rsidRPr="00FF7B33" w:rsidRDefault="00345542" w:rsidP="00126D77">
      <w:pPr>
        <w:pStyle w:val="Subtitle"/>
      </w:pPr>
      <w:r>
        <w:t>Hui Xia</w:t>
      </w:r>
      <w:r w:rsidR="00FF7B33">
        <w:br/>
      </w:r>
      <w:r>
        <w:t>hxia40</w:t>
      </w:r>
      <w:r w:rsidR="00FF7B33" w:rsidRPr="00FF7B33">
        <w:t>@</w:t>
      </w:r>
      <w:r w:rsidR="00FD25E7">
        <w:t>gatech.edu</w:t>
      </w:r>
    </w:p>
    <w:p w14:paraId="2F883F6C" w14:textId="2775859A" w:rsidR="00345542" w:rsidRDefault="00345542" w:rsidP="00345542">
      <w:pPr>
        <w:pStyle w:val="Abstract"/>
        <w:jc w:val="center"/>
      </w:pPr>
      <w:r>
        <w:t>CS-6440 – Introduction to Health Informatics</w:t>
      </w:r>
    </w:p>
    <w:p w14:paraId="18F5F1C5" w14:textId="77777777" w:rsidR="00345542" w:rsidRDefault="00345542" w:rsidP="00345542">
      <w:pPr>
        <w:pStyle w:val="Abstract"/>
        <w:jc w:val="center"/>
      </w:pPr>
      <w:r>
        <w:t>Georgia Institute of Technology</w:t>
      </w:r>
    </w:p>
    <w:p w14:paraId="2186EF48" w14:textId="5366FD70" w:rsidR="00784B78" w:rsidRPr="00723246" w:rsidRDefault="00345542" w:rsidP="00345542">
      <w:pPr>
        <w:pStyle w:val="Abstract"/>
        <w:jc w:val="center"/>
      </w:pPr>
      <w:r>
        <w:t>Feb</w:t>
      </w:r>
      <w:r>
        <w:t xml:space="preserve"> </w:t>
      </w:r>
      <w:r>
        <w:t>2nd</w:t>
      </w:r>
      <w:r>
        <w:t>, 20</w:t>
      </w:r>
      <w:r>
        <w:t>20</w:t>
      </w:r>
    </w:p>
    <w:p w14:paraId="77C7DD8E" w14:textId="50601DCD" w:rsidR="00D5034D" w:rsidRPr="009B7A17" w:rsidRDefault="00345542" w:rsidP="00345542">
      <w:pPr>
        <w:pStyle w:val="Heading1"/>
        <w:numPr>
          <w:ilvl w:val="0"/>
          <w:numId w:val="0"/>
        </w:numPr>
      </w:pPr>
      <w:r w:rsidRPr="00345542">
        <w:t>Clinical Question</w:t>
      </w:r>
    </w:p>
    <w:p w14:paraId="01A80C11" w14:textId="7A8430B0" w:rsidR="00E26A93" w:rsidRDefault="002B2A98" w:rsidP="00E26A93">
      <w:r>
        <w:t xml:space="preserve">In patients undergoing treatment for </w:t>
      </w:r>
      <w:r w:rsidR="00392377" w:rsidRPr="00392377">
        <w:t>thrombocythemia</w:t>
      </w:r>
      <w:r w:rsidR="002C0838">
        <w:t xml:space="preserve">, </w:t>
      </w:r>
      <w:r>
        <w:t xml:space="preserve">does </w:t>
      </w:r>
      <w:r w:rsidR="00436089">
        <w:t xml:space="preserve">those that have been treated with </w:t>
      </w:r>
      <w:r w:rsidR="00392377" w:rsidRPr="00392377">
        <w:t>Anagrelide</w:t>
      </w:r>
      <w:r w:rsidR="00392377">
        <w:t xml:space="preserve"> has a higher risk </w:t>
      </w:r>
      <w:r w:rsidR="00436089">
        <w:t>of</w:t>
      </w:r>
      <w:r w:rsidR="009D74AA">
        <w:t xml:space="preserve"> </w:t>
      </w:r>
      <w:r w:rsidR="00436089" w:rsidRPr="006D150B">
        <w:t>thrombosis</w:t>
      </w:r>
      <w:r w:rsidR="009D74AA">
        <w:t xml:space="preserve">, </w:t>
      </w:r>
      <w:r w:rsidR="00392377">
        <w:t xml:space="preserve">compared with a more conventional alternative, </w:t>
      </w:r>
      <w:r w:rsidR="00392377">
        <w:t>H</w:t>
      </w:r>
      <w:r w:rsidR="00392377" w:rsidRPr="00392377">
        <w:t>ydroxyurea</w:t>
      </w:r>
      <w:r w:rsidR="00392377">
        <w:t>?</w:t>
      </w:r>
    </w:p>
    <w:p w14:paraId="38CFC787" w14:textId="779257F0" w:rsidR="002C0838" w:rsidRDefault="00E26A93" w:rsidP="00E26A93">
      <w:r>
        <w:t>Thrombocythaemia occurs in several myeloproliferative disorders including chronic myeloid leukaemia, polycythaemia vera, agnogenic myeloid metaplasia</w:t>
      </w:r>
      <w:r>
        <w:t xml:space="preserve"> and essential thrombocythaemia</w:t>
      </w:r>
      <w:r w:rsidR="00932A31">
        <w:t xml:space="preserve"> (ET)</w:t>
      </w:r>
      <w:r w:rsidR="006D150B">
        <w:t xml:space="preserve"> [r</w:t>
      </w:r>
      <w:commentRangeStart w:id="0"/>
      <w:r w:rsidR="006D150B">
        <w:t>ef</w:t>
      </w:r>
      <w:commentRangeEnd w:id="0"/>
      <w:r w:rsidR="006D150B">
        <w:rPr>
          <w:rStyle w:val="CommentReference"/>
        </w:rPr>
        <w:commentReference w:id="0"/>
      </w:r>
      <w:r w:rsidR="006D150B">
        <w:t xml:space="preserve">], which </w:t>
      </w:r>
      <w:r w:rsidR="002C0838">
        <w:t>is</w:t>
      </w:r>
      <w:r w:rsidR="002C0838" w:rsidRPr="002C0838">
        <w:t xml:space="preserve"> characterized by platelet production </w:t>
      </w:r>
      <w:r>
        <w:t xml:space="preserve">increase, </w:t>
      </w:r>
      <w:r w:rsidR="002C0838" w:rsidRPr="002C0838">
        <w:t xml:space="preserve">and </w:t>
      </w:r>
      <w:r w:rsidR="002C0838">
        <w:t xml:space="preserve">elevated platelet counts </w:t>
      </w:r>
      <w:commentRangeStart w:id="1"/>
      <w:r w:rsidR="002C0838">
        <w:t>[r</w:t>
      </w:r>
      <w:commentRangeEnd w:id="1"/>
      <w:r w:rsidR="002C0838">
        <w:rPr>
          <w:rStyle w:val="CommentReference"/>
        </w:rPr>
        <w:commentReference w:id="1"/>
      </w:r>
      <w:commentRangeStart w:id="2"/>
      <w:r w:rsidR="002C0838">
        <w:t>e</w:t>
      </w:r>
      <w:commentRangeEnd w:id="2"/>
      <w:r w:rsidR="002C0838">
        <w:rPr>
          <w:rStyle w:val="CommentReference"/>
        </w:rPr>
        <w:commentReference w:id="2"/>
      </w:r>
      <w:r w:rsidR="002C0838">
        <w:t xml:space="preserve">f]. </w:t>
      </w:r>
      <w:r w:rsidR="006D150B">
        <w:t>Thrombocythaemia</w:t>
      </w:r>
      <w:r w:rsidR="006D150B">
        <w:t xml:space="preserve"> is usually seen in elderly patients, and could be dangerous, as the increased number of platelets might cause dangerous complications such as </w:t>
      </w:r>
      <w:r w:rsidR="006D150B" w:rsidRPr="006D150B">
        <w:t>systemic thrombosis</w:t>
      </w:r>
      <w:r w:rsidR="00436089">
        <w:t xml:space="preserve"> </w:t>
      </w:r>
      <w:r w:rsidR="006D150B">
        <w:t>[</w:t>
      </w:r>
      <w:commentRangeStart w:id="3"/>
      <w:r w:rsidR="006D150B">
        <w:t>ref</w:t>
      </w:r>
      <w:commentRangeEnd w:id="3"/>
      <w:r w:rsidR="006D150B">
        <w:rPr>
          <w:rStyle w:val="CommentReference"/>
        </w:rPr>
        <w:commentReference w:id="3"/>
      </w:r>
      <w:r w:rsidR="006D150B">
        <w:t xml:space="preserve">]. Thus, there is an essential need for drug development to limit the patient’s platelet count in normal range, in order to minimize the risk of the potential </w:t>
      </w:r>
      <w:r w:rsidR="006D150B" w:rsidRPr="009D74AA">
        <w:t>cardiovascular adverse effects</w:t>
      </w:r>
      <w:r w:rsidR="006D150B">
        <w:t>.</w:t>
      </w:r>
    </w:p>
    <w:p w14:paraId="2BF07166" w14:textId="04A5A9C6" w:rsidR="00495608" w:rsidRDefault="00345542" w:rsidP="00345542">
      <w:pPr>
        <w:pStyle w:val="Heading2"/>
        <w:numPr>
          <w:ilvl w:val="0"/>
          <w:numId w:val="0"/>
        </w:numPr>
      </w:pPr>
      <w:r>
        <w:t>BACKGROUND</w:t>
      </w:r>
    </w:p>
    <w:p w14:paraId="6B8191CC" w14:textId="3559BBED" w:rsidR="00E26A93" w:rsidRDefault="00E26A93" w:rsidP="00C74E7C">
      <w:r w:rsidRPr="002C0838">
        <w:t>Anagrelide</w:t>
      </w:r>
      <w:r>
        <w:t xml:space="preserve"> is </w:t>
      </w:r>
      <w:r w:rsidRPr="002C0838">
        <w:t>an orally active quinazolin,</w:t>
      </w:r>
      <w:r>
        <w:t xml:space="preserve"> which is known for causing</w:t>
      </w:r>
      <w:r w:rsidRPr="002C0838">
        <w:t xml:space="preserve"> thrombocytopenia</w:t>
      </w:r>
      <w:r>
        <w:t>,</w:t>
      </w:r>
      <w:r w:rsidRPr="002C0838">
        <w:t xml:space="preserve"> and has </w:t>
      </w:r>
      <w:r>
        <w:t xml:space="preserve">thus been evaluated for treating </w:t>
      </w:r>
      <w:r w:rsidRPr="002C0838">
        <w:t>thrombocythaemia</w:t>
      </w:r>
      <w:r>
        <w:t xml:space="preserve"> [r</w:t>
      </w:r>
      <w:commentRangeStart w:id="4"/>
      <w:r>
        <w:t>e</w:t>
      </w:r>
      <w:commentRangeEnd w:id="4"/>
      <w:r w:rsidR="00C74E7C">
        <w:rPr>
          <w:rStyle w:val="CommentReference"/>
        </w:rPr>
        <w:commentReference w:id="4"/>
      </w:r>
      <w:r>
        <w:t>f]</w:t>
      </w:r>
      <w:r w:rsidRPr="002C0838">
        <w:t>.</w:t>
      </w:r>
      <w:r w:rsidR="00C74E7C">
        <w:t xml:space="preserve"> Anagrelide is approved by FDA in 1997 in order to treat </w:t>
      </w:r>
      <w:r w:rsidR="00C74E7C" w:rsidRPr="00C74E7C">
        <w:t>essential thrombocythemia</w:t>
      </w:r>
      <w:r w:rsidR="00C74E7C">
        <w:t xml:space="preserve">, under then commercial name of </w:t>
      </w:r>
      <w:r w:rsidR="00C74E7C" w:rsidRPr="00C74E7C">
        <w:t>AGRYLIN</w:t>
      </w:r>
      <w:r w:rsidR="00C74E7C">
        <w:t xml:space="preserve"> by </w:t>
      </w:r>
      <w:r w:rsidR="00C74E7C" w:rsidRPr="00C74E7C">
        <w:t>Roberts Pharmaceutical</w:t>
      </w:r>
      <w:r w:rsidR="00C74E7C">
        <w:t xml:space="preserve">. </w:t>
      </w:r>
      <w:r w:rsidR="00C74E7C">
        <w:t xml:space="preserve">In the associated clinical trial, </w:t>
      </w:r>
      <w:r w:rsidR="00C74E7C">
        <w:t xml:space="preserve">among a total of 551 patients, the </w:t>
      </w:r>
      <w:r w:rsidR="00C74E7C" w:rsidRPr="00C74E7C">
        <w:t>most frequently reported adverse reactions were headache, palpitations, diarrhea, and abdominal pain</w:t>
      </w:r>
      <w:r w:rsidR="00C74E7C">
        <w:t xml:space="preserve"> [</w:t>
      </w:r>
      <w:commentRangeStart w:id="5"/>
      <w:r w:rsidR="00C74E7C">
        <w:t>re</w:t>
      </w:r>
      <w:commentRangeEnd w:id="5"/>
      <w:r w:rsidR="00C74E7C">
        <w:rPr>
          <w:rStyle w:val="CommentReference"/>
        </w:rPr>
        <w:commentReference w:id="5"/>
      </w:r>
      <w:r w:rsidR="00C74E7C">
        <w:t>f].</w:t>
      </w:r>
      <w:r w:rsidR="00436089">
        <w:t xml:space="preserve">Patient </w:t>
      </w:r>
      <w:r w:rsidR="00436089" w:rsidRPr="006D150B">
        <w:t>thrombosis</w:t>
      </w:r>
      <w:r w:rsidR="00436089">
        <w:t xml:space="preserve"> data was not included in this clinical trial. </w:t>
      </w:r>
    </w:p>
    <w:p w14:paraId="0BB2E22F" w14:textId="72F61D86" w:rsidR="00C74E7C" w:rsidRDefault="00C74E7C" w:rsidP="00C74E7C">
      <w:r>
        <w:t>H</w:t>
      </w:r>
      <w:r w:rsidRPr="00C74E7C">
        <w:t>ydroxyurea</w:t>
      </w:r>
      <w:r>
        <w:t xml:space="preserve"> is a time-tested older drug, which has been widely used to treat sickle cell disease in 1980s (although FDA has not approved its usage until 1998) [</w:t>
      </w:r>
      <w:commentRangeStart w:id="6"/>
      <w:r>
        <w:t>ref</w:t>
      </w:r>
      <w:commentRangeEnd w:id="6"/>
      <w:r w:rsidR="00436089">
        <w:rPr>
          <w:rStyle w:val="CommentReference"/>
        </w:rPr>
        <w:commentReference w:id="6"/>
      </w:r>
      <w:r>
        <w:t xml:space="preserve">]. </w:t>
      </w:r>
      <w:r w:rsidR="00436089">
        <w:t>Compared with newer drugs, h</w:t>
      </w:r>
      <w:r w:rsidR="00436089" w:rsidRPr="00C74E7C">
        <w:t>ydroxyurea</w:t>
      </w:r>
      <w:r w:rsidR="00436089">
        <w:t xml:space="preserve"> is also cost-effective. The c</w:t>
      </w:r>
      <w:r w:rsidR="00436089" w:rsidRPr="00436089">
        <w:t xml:space="preserve">ost </w:t>
      </w:r>
      <w:r w:rsidR="00436089" w:rsidRPr="00436089">
        <w:lastRenderedPageBreak/>
        <w:t xml:space="preserve">for hydroxyurea oral capsule 500 mg is around $78 for a supply of 100 capsules, </w:t>
      </w:r>
      <w:r w:rsidR="00436089">
        <w:t>while the cost for A</w:t>
      </w:r>
      <w:r w:rsidR="00436089" w:rsidRPr="00436089">
        <w:t>nagrelide oral capsule 0.5 mg is around $2</w:t>
      </w:r>
      <w:r w:rsidR="00436089">
        <w:t>73 for a supply of 100 capsules [</w:t>
      </w:r>
      <w:commentRangeStart w:id="7"/>
      <w:r w:rsidR="00436089">
        <w:t>ref</w:t>
      </w:r>
      <w:commentRangeEnd w:id="7"/>
      <w:r w:rsidR="00436089">
        <w:rPr>
          <w:rStyle w:val="CommentReference"/>
        </w:rPr>
        <w:commentReference w:id="7"/>
      </w:r>
      <w:r w:rsidR="00436089">
        <w:t>].</w:t>
      </w:r>
    </w:p>
    <w:p w14:paraId="72D580FB" w14:textId="4394D0D3" w:rsidR="00932A31" w:rsidRDefault="00437F22" w:rsidP="00932A31">
      <w:r>
        <w:t xml:space="preserve">In 2012, a clinical trial in 2012 compared 122 patients treated with </w:t>
      </w:r>
      <w:r>
        <w:t>A</w:t>
      </w:r>
      <w:r w:rsidRPr="00436089">
        <w:t>nagrelide</w:t>
      </w:r>
      <w:r>
        <w:t xml:space="preserve"> and 137 treated with Hydroxyurea</w:t>
      </w:r>
      <w:r w:rsidR="002B2A98">
        <w:t xml:space="preserve"> </w:t>
      </w:r>
      <w:r>
        <w:t xml:space="preserve">suggest that both group show similar risk of all kinds of thrombosis, including major/minor arterial/venous </w:t>
      </w:r>
      <w:r w:rsidRPr="006D150B">
        <w:t>thrombosis</w:t>
      </w:r>
      <w:r>
        <w:t>, and concluded that “</w:t>
      </w:r>
      <w:r>
        <w:t>Anagrelide as a selec</w:t>
      </w:r>
      <w:r>
        <w:t xml:space="preserve">tive platelet-lowering agent is </w:t>
      </w:r>
      <w:r>
        <w:t xml:space="preserve">not inferior </w:t>
      </w:r>
      <w:r w:rsidR="00D463B0">
        <w:t>compared with</w:t>
      </w:r>
      <w:r>
        <w:t xml:space="preserve"> hydroxyurea in the prevention of thrombotic complications</w:t>
      </w:r>
      <w:r>
        <w:t>” [</w:t>
      </w:r>
      <w:commentRangeStart w:id="8"/>
      <w:r>
        <w:t>ref</w:t>
      </w:r>
      <w:commentRangeEnd w:id="8"/>
      <w:r>
        <w:rPr>
          <w:rStyle w:val="CommentReference"/>
        </w:rPr>
        <w:commentReference w:id="8"/>
      </w:r>
      <w:r>
        <w:t xml:space="preserve">]. However, a more recent research article published in 2019 </w:t>
      </w:r>
      <w:r w:rsidR="00932A31">
        <w:t xml:space="preserve">checked the </w:t>
      </w:r>
      <w:r w:rsidR="00932A31" w:rsidRPr="00932A31">
        <w:t>Anagrelide clinical trials</w:t>
      </w:r>
      <w:r w:rsidR="00932A31">
        <w:t xml:space="preserve"> back in the 1990s, and noticed that the </w:t>
      </w:r>
      <w:r w:rsidR="00932A31">
        <w:t xml:space="preserve">thrombosis-free survival data </w:t>
      </w:r>
      <w:r w:rsidR="00932A31">
        <w:t>f</w:t>
      </w:r>
      <w:r w:rsidR="00932A31">
        <w:t xml:space="preserve">or ET patients diagnosed before the 1997 FDA approval date </w:t>
      </w:r>
      <w:r w:rsidR="00932A31">
        <w:t xml:space="preserve">is significantly better compared with that after </w:t>
      </w:r>
      <w:r w:rsidR="00932A31">
        <w:t>the 1997 FDA approval date</w:t>
      </w:r>
      <w:r w:rsidR="00932A31">
        <w:t xml:space="preserve"> [</w:t>
      </w:r>
      <w:commentRangeStart w:id="9"/>
      <w:r w:rsidR="00932A31">
        <w:t>ref</w:t>
      </w:r>
      <w:commentRangeEnd w:id="9"/>
      <w:r w:rsidR="00932A31">
        <w:rPr>
          <w:rStyle w:val="CommentReference"/>
        </w:rPr>
        <w:commentReference w:id="9"/>
      </w:r>
      <w:r w:rsidR="00932A31">
        <w:t xml:space="preserve">]. In more recent literature review, transfusion experts suggest directly that the main </w:t>
      </w:r>
      <w:r w:rsidR="00932A31">
        <w:t>indication for treatment in ET is to prevent thrombosis</w:t>
      </w:r>
      <w:r w:rsidR="00932A31">
        <w:t>, and that “</w:t>
      </w:r>
      <w:r w:rsidR="00932A31">
        <w:t>no</w:t>
      </w:r>
      <w:r w:rsidR="00932A31">
        <w:t xml:space="preserve">ne of the newer drugs have been </w:t>
      </w:r>
      <w:r w:rsidR="00932A31">
        <w:t>shown to be superior to the time-tested older drugs (e.g., hydroxyurea)</w:t>
      </w:r>
      <w:r w:rsidR="00932A31">
        <w:t>.” [t</w:t>
      </w:r>
      <w:commentRangeStart w:id="10"/>
      <w:r w:rsidR="00932A31">
        <w:t>re</w:t>
      </w:r>
      <w:commentRangeEnd w:id="10"/>
      <w:r w:rsidR="00932A31">
        <w:rPr>
          <w:rStyle w:val="CommentReference"/>
        </w:rPr>
        <w:commentReference w:id="10"/>
      </w:r>
      <w:r w:rsidR="00932A31">
        <w:t xml:space="preserve">f] These works indicate that it is beneficial to compare </w:t>
      </w:r>
      <w:r w:rsidR="00932A31">
        <w:t>Anagrelide</w:t>
      </w:r>
      <w:r w:rsidR="00932A31">
        <w:t xml:space="preserve"> with</w:t>
      </w:r>
      <w:r w:rsidR="00932A31">
        <w:t xml:space="preserve"> Hydroxyurea</w:t>
      </w:r>
      <w:r w:rsidR="00D463B0">
        <w:t xml:space="preserve"> </w:t>
      </w:r>
      <w:r w:rsidR="00932A31">
        <w:t>on the risk of</w:t>
      </w:r>
      <w:r w:rsidR="00D463B0">
        <w:t xml:space="preserve"> </w:t>
      </w:r>
      <w:r w:rsidR="00D463B0" w:rsidRPr="006D150B">
        <w:t>thrombosis</w:t>
      </w:r>
      <w:r w:rsidR="00932A31">
        <w:t>, using a more broad data generated in actual clinical practice</w:t>
      </w:r>
      <w:r w:rsidR="00D463B0">
        <w:t>.</w:t>
      </w:r>
    </w:p>
    <w:p w14:paraId="13F471FD" w14:textId="55010307" w:rsidR="00495608" w:rsidRDefault="00345542" w:rsidP="00345542">
      <w:pPr>
        <w:pStyle w:val="Heading2"/>
        <w:numPr>
          <w:ilvl w:val="0"/>
          <w:numId w:val="0"/>
        </w:numPr>
        <w:ind w:left="270" w:hanging="270"/>
      </w:pPr>
      <w:r>
        <w:t>COHORTS</w:t>
      </w:r>
    </w:p>
    <w:p w14:paraId="681FFE55" w14:textId="736581A7" w:rsidR="002B2A98" w:rsidRDefault="002B2A98" w:rsidP="002B2A98">
      <w:r>
        <w:t>T</w:t>
      </w:r>
      <w:r>
        <w:t xml:space="preserve">arget Cohort - The target cohort is patients who have </w:t>
      </w:r>
      <w:r w:rsidR="00D463B0">
        <w:t xml:space="preserve">taken </w:t>
      </w:r>
      <w:r w:rsidR="00D463B0">
        <w:t>Anagrelide</w:t>
      </w:r>
      <w:r w:rsidR="00D463B0">
        <w:t xml:space="preserve"> to treat </w:t>
      </w:r>
      <w:r w:rsidR="00D463B0" w:rsidRPr="00392377">
        <w:t>thrombocythemia</w:t>
      </w:r>
      <w:r>
        <w:t xml:space="preserve"> with at least 60 days of follow-up</w:t>
      </w:r>
      <w:r w:rsidR="00D463B0">
        <w:t>, and are not affected by sickle cell disease</w:t>
      </w:r>
      <w:r>
        <w:t>.</w:t>
      </w:r>
    </w:p>
    <w:p w14:paraId="782751B1" w14:textId="2A280F63" w:rsidR="00D463B0" w:rsidRDefault="002B2A98" w:rsidP="00D463B0">
      <w:r>
        <w:t xml:space="preserve">Comparator Cohort - </w:t>
      </w:r>
      <w:r w:rsidR="00D463B0">
        <w:t>The target cohort is patients who have taken with Hydroxyurea</w:t>
      </w:r>
      <w:r w:rsidR="00D463B0">
        <w:t xml:space="preserve"> to treat </w:t>
      </w:r>
      <w:r w:rsidR="00D463B0" w:rsidRPr="00392377">
        <w:t>thrombocythemia</w:t>
      </w:r>
      <w:r w:rsidR="00D463B0">
        <w:t xml:space="preserve"> </w:t>
      </w:r>
      <w:r w:rsidR="00D463B0">
        <w:t>with at least 60 days of follow-up</w:t>
      </w:r>
      <w:r w:rsidR="00D463B0">
        <w:t>, and</w:t>
      </w:r>
      <w:r w:rsidR="00D463B0">
        <w:t xml:space="preserve"> are not </w:t>
      </w:r>
      <w:r w:rsidR="00D463B0">
        <w:t>affected</w:t>
      </w:r>
      <w:r w:rsidR="00D463B0">
        <w:t xml:space="preserve"> by sickle cell disease.</w:t>
      </w:r>
    </w:p>
    <w:p w14:paraId="2D32130F" w14:textId="2793014D" w:rsidR="00495608" w:rsidRDefault="002B2A98" w:rsidP="002B2A98">
      <w:r>
        <w:t xml:space="preserve">Outcome Cohort – The outcome cohort is patients who have been diagnosed with </w:t>
      </w:r>
      <w:r w:rsidR="00D463B0" w:rsidRPr="006D150B">
        <w:t>thrombosis</w:t>
      </w:r>
      <w:r w:rsidR="00D463B0">
        <w:t xml:space="preserve"> complications. </w:t>
      </w:r>
    </w:p>
    <w:p w14:paraId="374202AE" w14:textId="01D4B376" w:rsidR="00345542" w:rsidRDefault="00345542" w:rsidP="00345542">
      <w:pPr>
        <w:pStyle w:val="Heading2"/>
        <w:numPr>
          <w:ilvl w:val="0"/>
          <w:numId w:val="0"/>
        </w:numPr>
        <w:ind w:left="270" w:hanging="270"/>
      </w:pPr>
      <w:r>
        <w:t>ADDITIONAL COMMENTS</w:t>
      </w:r>
    </w:p>
    <w:p w14:paraId="3B0299A8" w14:textId="49E502DD" w:rsidR="00D463B0" w:rsidRDefault="00D463B0" w:rsidP="002B2A98">
      <w:r>
        <w:t>As the patient groups of the A</w:t>
      </w:r>
      <w:r w:rsidRPr="00D463B0">
        <w:t>nagrelide</w:t>
      </w:r>
      <w:r>
        <w:t xml:space="preserve"> and </w:t>
      </w:r>
      <w:r>
        <w:t>H</w:t>
      </w:r>
      <w:r w:rsidRPr="00C74E7C">
        <w:t>ydroxyurea</w:t>
      </w:r>
      <w:r>
        <w:t xml:space="preserve"> are not perfectly matching, the former is used majorly on ET patients, while the latter are widely used for all kinds of </w:t>
      </w:r>
      <w:r w:rsidRPr="00392377">
        <w:t>thrombocythemia</w:t>
      </w:r>
      <w:r>
        <w:t xml:space="preserve"> (including ET), as well as for sickle cell disease patients. Thus, I </w:t>
      </w:r>
      <w:r w:rsidR="00801160">
        <w:t xml:space="preserve">propose </w:t>
      </w:r>
      <w:r>
        <w:t xml:space="preserve">to exclude all patients that are affected by sickle </w:t>
      </w:r>
      <w:r>
        <w:lastRenderedPageBreak/>
        <w:t xml:space="preserve">cell disease. This </w:t>
      </w:r>
      <w:r w:rsidR="00801160">
        <w:t xml:space="preserve">decision </w:t>
      </w:r>
      <w:r>
        <w:t xml:space="preserve">could </w:t>
      </w:r>
      <w:r w:rsidR="00801160">
        <w:t>be due for change, as in the U.S., nearly all sickle cell disease patients are African-Americans [</w:t>
      </w:r>
      <w:commentRangeStart w:id="11"/>
      <w:r w:rsidR="00801160">
        <w:t>ref</w:t>
      </w:r>
      <w:commentRangeEnd w:id="11"/>
      <w:r w:rsidR="00801160">
        <w:rPr>
          <w:rStyle w:val="CommentReference"/>
        </w:rPr>
        <w:commentReference w:id="11"/>
      </w:r>
      <w:r w:rsidR="00801160">
        <w:t>], which in general are easier to be affected by hypertension [</w:t>
      </w:r>
      <w:commentRangeStart w:id="12"/>
      <w:r w:rsidR="00801160">
        <w:t>ref</w:t>
      </w:r>
      <w:commentRangeEnd w:id="12"/>
      <w:r w:rsidR="00801160">
        <w:rPr>
          <w:rStyle w:val="CommentReference"/>
        </w:rPr>
        <w:commentReference w:id="12"/>
      </w:r>
      <w:r w:rsidR="00801160">
        <w:t xml:space="preserve">], and thus might are exposed to a higher risk of </w:t>
      </w:r>
      <w:r w:rsidR="00801160" w:rsidRPr="006D150B">
        <w:t>thrombosis</w:t>
      </w:r>
      <w:r w:rsidR="00801160">
        <w:t xml:space="preserve"> than other groups. Thus, including sickle cell disease patients might be helpful to expose the difference between </w:t>
      </w:r>
      <w:r w:rsidR="00801160">
        <w:t>A</w:t>
      </w:r>
      <w:r w:rsidR="00801160" w:rsidRPr="00D463B0">
        <w:t>nagrelide</w:t>
      </w:r>
      <w:r w:rsidR="00801160">
        <w:t xml:space="preserve"> and H</w:t>
      </w:r>
      <w:r w:rsidR="00801160" w:rsidRPr="00C74E7C">
        <w:t>ydroxyurea</w:t>
      </w:r>
      <w:r w:rsidR="00801160">
        <w:t>.</w:t>
      </w:r>
    </w:p>
    <w:p w14:paraId="156FEE92" w14:textId="0820F4D4" w:rsidR="00345542" w:rsidRDefault="00345542" w:rsidP="00345542">
      <w:pPr>
        <w:pStyle w:val="Heading2"/>
        <w:numPr>
          <w:ilvl w:val="0"/>
          <w:numId w:val="0"/>
        </w:numPr>
        <w:ind w:left="270" w:hanging="270"/>
      </w:pPr>
      <w:r>
        <w:t>REFERENCES</w:t>
      </w:r>
    </w:p>
    <w:p w14:paraId="76A66E20" w14:textId="7A9E27E6" w:rsidR="002B2A98" w:rsidRDefault="002B2A98" w:rsidP="00345542"/>
    <w:p w14:paraId="5D967333" w14:textId="77777777" w:rsidR="00345542" w:rsidRDefault="00345542" w:rsidP="00495608">
      <w:bookmarkStart w:id="13" w:name="_GoBack"/>
      <w:bookmarkEnd w:id="13"/>
    </w:p>
    <w:sectPr w:rsidR="00345542" w:rsidSect="00641A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Xia, Hui" w:date="2020-02-02T23:11:00Z" w:initials="XH">
    <w:p w14:paraId="5A5DA340" w14:textId="554CACF5" w:rsidR="006D150B" w:rsidRDefault="006D150B">
      <w:pPr>
        <w:pStyle w:val="CommentText"/>
      </w:pPr>
      <w:r>
        <w:rPr>
          <w:rStyle w:val="CommentReference"/>
        </w:rPr>
        <w:annotationRef/>
      </w:r>
    </w:p>
  </w:comment>
  <w:comment w:id="1" w:author="Xia, Hui" w:date="2020-02-02T22:38:00Z" w:initials="XH">
    <w:p w14:paraId="73C8B7E4" w14:textId="77777777" w:rsidR="006D150B" w:rsidRDefault="002C0838" w:rsidP="006D150B">
      <w:pPr>
        <w:pStyle w:val="Heading3"/>
        <w:spacing w:after="30" w:line="285" w:lineRule="atLeast"/>
        <w:ind w:right="1500"/>
        <w:rPr>
          <w:rFonts w:ascii="Arial" w:hAnsi="Arial" w:cs="Arial"/>
          <w:b w:val="0"/>
          <w:color w:val="222222"/>
          <w:kern w:val="0"/>
          <w:sz w:val="26"/>
          <w:szCs w:val="26"/>
          <w14:ligatures w14:val="none"/>
          <w14:numForm w14:val="default"/>
          <w14:numSpacing w14:val="default"/>
        </w:rPr>
      </w:pPr>
      <w:r>
        <w:rPr>
          <w:rStyle w:val="CommentReference"/>
        </w:rPr>
        <w:annotationRef/>
      </w:r>
      <w:hyperlink r:id="rId1" w:history="1">
        <w:r w:rsidR="006D150B">
          <w:rPr>
            <w:rStyle w:val="Hyperlink"/>
            <w:rFonts w:ascii="Arial" w:hAnsi="Arial" w:cs="Arial"/>
            <w:color w:val="660099"/>
            <w:sz w:val="26"/>
            <w:szCs w:val="26"/>
          </w:rPr>
          <w:t>Anagrelide</w:t>
        </w:r>
      </w:hyperlink>
    </w:p>
    <w:p w14:paraId="7643A1E8" w14:textId="77777777" w:rsidR="006D150B" w:rsidRDefault="006D150B" w:rsidP="006D150B">
      <w:pPr>
        <w:rPr>
          <w:rFonts w:ascii="Arial" w:hAnsi="Arial" w:cs="Arial"/>
          <w:color w:val="006621"/>
          <w:sz w:val="20"/>
          <w:szCs w:val="20"/>
        </w:rPr>
      </w:pPr>
      <w:r>
        <w:rPr>
          <w:rFonts w:ascii="Arial" w:hAnsi="Arial" w:cs="Arial"/>
          <w:color w:val="006621"/>
          <w:sz w:val="20"/>
          <w:szCs w:val="20"/>
        </w:rPr>
        <w:t>CM Spencer, RN Brogden - Drugs, 1994 - Springer</w:t>
      </w:r>
    </w:p>
    <w:p w14:paraId="1BA739B2" w14:textId="77777777" w:rsidR="006D150B" w:rsidRDefault="006D150B" w:rsidP="006D150B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Synopsis Anagrelide, an orally active quinazolin, induces thrombocytopenia in humans and </w:t>
      </w:r>
      <w:r>
        <w:rPr>
          <w:rFonts w:ascii="Arial" w:hAnsi="Arial" w:cs="Arial"/>
          <w:color w:val="222222"/>
          <w:sz w:val="20"/>
          <w:szCs w:val="20"/>
        </w:rPr>
        <w:br/>
        <w:t xml:space="preserve">has therefore been evaluated for use in conditions associated with thrombocythaemia. In </w:t>
      </w:r>
      <w:r>
        <w:rPr>
          <w:rFonts w:ascii="Arial" w:hAnsi="Arial" w:cs="Arial"/>
          <w:color w:val="222222"/>
          <w:sz w:val="20"/>
          <w:szCs w:val="20"/>
        </w:rPr>
        <w:br/>
        <w:t>patients with essential or myeloproliferative thrombocythaemia, anagrelide (usually 1 to 4 …</w:t>
      </w:r>
    </w:p>
    <w:p w14:paraId="12A80749" w14:textId="795D113E" w:rsidR="002C0838" w:rsidRDefault="006D150B" w:rsidP="006D150B">
      <w:pPr>
        <w:pStyle w:val="Heading3"/>
        <w:numPr>
          <w:ilvl w:val="0"/>
          <w:numId w:val="0"/>
        </w:numPr>
        <w:spacing w:after="30" w:line="285" w:lineRule="atLeast"/>
        <w:ind w:right="1500"/>
      </w:pPr>
      <w:hyperlink r:id="rId2" w:history="1">
        <w:r>
          <w:rPr>
            <w:rStyle w:val="Hyperlink"/>
            <w:rFonts w:ascii="Arial" w:hAnsi="Arial" w:cs="Arial"/>
            <w:color w:val="1A0DAB"/>
            <w:sz w:val="20"/>
            <w:szCs w:val="20"/>
          </w:rPr>
          <w:t>Cited by 68</w:t>
        </w:r>
      </w:hyperlink>
      <w:r>
        <w:rPr>
          <w:rFonts w:ascii="Arial" w:hAnsi="Arial" w:cs="Arial"/>
          <w:color w:val="777777"/>
          <w:sz w:val="2"/>
          <w:szCs w:val="2"/>
        </w:rPr>
        <w:t xml:space="preserve"> </w:t>
      </w:r>
      <w:hyperlink r:id="rId3" w:history="1">
        <w:r>
          <w:rPr>
            <w:rStyle w:val="Hyperlink"/>
            <w:rFonts w:ascii="Arial" w:hAnsi="Arial" w:cs="Arial"/>
            <w:color w:val="1A0DAB"/>
            <w:sz w:val="20"/>
            <w:szCs w:val="20"/>
          </w:rPr>
          <w:t>Related articles</w:t>
        </w:r>
      </w:hyperlink>
      <w:r>
        <w:rPr>
          <w:rFonts w:ascii="Arial" w:hAnsi="Arial" w:cs="Arial"/>
          <w:color w:val="777777"/>
          <w:sz w:val="2"/>
          <w:szCs w:val="2"/>
        </w:rPr>
        <w:t xml:space="preserve"> </w:t>
      </w:r>
      <w:hyperlink r:id="rId4" w:history="1">
        <w:r>
          <w:rPr>
            <w:rStyle w:val="Hyperlink"/>
            <w:rFonts w:ascii="Arial" w:hAnsi="Arial" w:cs="Arial"/>
            <w:color w:val="1A0DAB"/>
            <w:sz w:val="20"/>
            <w:szCs w:val="20"/>
          </w:rPr>
          <w:t>All 9 versions</w:t>
        </w:r>
      </w:hyperlink>
      <w:r>
        <w:rPr>
          <w:rFonts w:ascii="Arial" w:hAnsi="Arial" w:cs="Arial"/>
          <w:color w:val="777777"/>
          <w:sz w:val="2"/>
          <w:szCs w:val="2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color w:val="1A0DAB"/>
            <w:sz w:val="20"/>
            <w:szCs w:val="20"/>
          </w:rPr>
          <w:t>Web of Science: 54</w:t>
        </w:r>
      </w:hyperlink>
    </w:p>
  </w:comment>
  <w:comment w:id="2" w:author="Xia, Hui" w:date="2020-02-02T22:31:00Z" w:initials="XH">
    <w:p w14:paraId="2FBA3E0B" w14:textId="77777777" w:rsidR="002C0838" w:rsidRPr="002C0838" w:rsidRDefault="002C0838" w:rsidP="002C0838">
      <w:pPr>
        <w:spacing w:after="0" w:line="240" w:lineRule="auto"/>
        <w:jc w:val="left"/>
        <w:textAlignment w:val="baseline"/>
        <w:rPr>
          <w:rFonts w:ascii="Helvetica" w:hAnsi="Helvetica"/>
          <w:color w:val="1A1A1A"/>
          <w:spacing w:val="0"/>
          <w:kern w:val="0"/>
          <w:sz w:val="24"/>
          <w:szCs w:val="24"/>
          <w14:ligatures w14:val="none"/>
          <w14:numForm w14:val="default"/>
          <w14:numSpacing w14:val="default"/>
        </w:rPr>
      </w:pPr>
      <w:r>
        <w:rPr>
          <w:rStyle w:val="CommentReference"/>
        </w:rPr>
        <w:annotationRef/>
      </w:r>
      <w:r w:rsidRPr="002C0838">
        <w:rPr>
          <w:rFonts w:ascii="Helvetica" w:hAnsi="Helvetica"/>
          <w:color w:val="1A1A1A"/>
          <w:spacing w:val="0"/>
          <w:kern w:val="0"/>
          <w:sz w:val="24"/>
          <w:szCs w:val="24"/>
          <w14:ligatures w14:val="none"/>
          <w14:numForm w14:val="default"/>
          <w14:numSpacing w14:val="default"/>
        </w:rPr>
        <w:t>Fenaux</w:t>
      </w:r>
    </w:p>
    <w:p w14:paraId="40E1A3F7" w14:textId="3AC4BEA1" w:rsidR="002C0838" w:rsidRPr="002C0838" w:rsidRDefault="002C0838" w:rsidP="002C0838">
      <w:pPr>
        <w:spacing w:after="0" w:line="240" w:lineRule="auto"/>
        <w:jc w:val="left"/>
        <w:textAlignment w:val="baseline"/>
        <w:rPr>
          <w:rFonts w:ascii="Helvetica" w:hAnsi="Helvetica"/>
          <w:color w:val="1A1A1A"/>
          <w:spacing w:val="0"/>
          <w:kern w:val="0"/>
          <w:sz w:val="24"/>
          <w:szCs w:val="24"/>
          <w14:ligatures w14:val="none"/>
          <w14:numForm w14:val="default"/>
          <w14:numSpacing w14:val="default"/>
        </w:rPr>
      </w:pPr>
      <w:r w:rsidRPr="002C0838">
        <w:rPr>
          <w:rFonts w:ascii="Helvetica" w:hAnsi="Helvetica"/>
          <w:color w:val="1A1A1A"/>
          <w:spacing w:val="0"/>
          <w:kern w:val="0"/>
          <w:sz w:val="24"/>
          <w:szCs w:val="24"/>
          <w14:ligatures w14:val="none"/>
          <w14:numForm w14:val="default"/>
          <w14:numSpacing w14:val="default"/>
        </w:rPr>
        <w:t> </w:t>
      </w:r>
    </w:p>
    <w:p w14:paraId="2B5C0C41" w14:textId="77777777" w:rsidR="002C0838" w:rsidRPr="002C0838" w:rsidRDefault="002C0838" w:rsidP="002C0838">
      <w:pPr>
        <w:spacing w:after="0" w:line="240" w:lineRule="auto"/>
        <w:jc w:val="left"/>
        <w:textAlignment w:val="baseline"/>
        <w:rPr>
          <w:rFonts w:ascii="Helvetica" w:hAnsi="Helvetica"/>
          <w:color w:val="1A1A1A"/>
          <w:spacing w:val="0"/>
          <w:kern w:val="0"/>
          <w:sz w:val="24"/>
          <w:szCs w:val="24"/>
          <w14:ligatures w14:val="none"/>
          <w14:numForm w14:val="default"/>
          <w14:numSpacing w14:val="default"/>
        </w:rPr>
      </w:pPr>
      <w:r w:rsidRPr="002C0838">
        <w:rPr>
          <w:rFonts w:ascii="Helvetica" w:hAnsi="Helvetica"/>
          <w:color w:val="1A1A1A"/>
          <w:spacing w:val="0"/>
          <w:kern w:val="0"/>
          <w:sz w:val="24"/>
          <w:szCs w:val="24"/>
          <w14:ligatures w14:val="none"/>
          <w14:numForm w14:val="default"/>
          <w14:numSpacing w14:val="default"/>
        </w:rPr>
        <w:t>Clinical course of essential thrombocythemia in 147 cases.</w:t>
      </w:r>
    </w:p>
    <w:p w14:paraId="59AC3588" w14:textId="77777777" w:rsidR="002C0838" w:rsidRDefault="002C0838" w:rsidP="002C0838">
      <w:pPr>
        <w:spacing w:after="0" w:line="240" w:lineRule="auto"/>
        <w:jc w:val="left"/>
        <w:rPr>
          <w:rFonts w:ascii="Helvetica" w:hAnsi="Helvetica"/>
          <w:color w:val="1A1A1A"/>
          <w:spacing w:val="0"/>
          <w:kern w:val="0"/>
          <w:sz w:val="24"/>
          <w:szCs w:val="24"/>
          <w:shd w:val="clear" w:color="auto" w:fill="FFFFFF"/>
          <w14:ligatures w14:val="none"/>
          <w14:numForm w14:val="default"/>
          <w14:numSpacing w14:val="default"/>
        </w:rPr>
      </w:pPr>
      <w:r w:rsidRPr="002C0838">
        <w:rPr>
          <w:rFonts w:ascii="Helvetica" w:hAnsi="Helvetica"/>
          <w:color w:val="1A1A1A"/>
          <w:spacing w:val="0"/>
          <w:kern w:val="0"/>
          <w:sz w:val="24"/>
          <w:szCs w:val="24"/>
          <w:shd w:val="clear" w:color="auto" w:fill="FFFFFF"/>
          <w14:ligatures w14:val="none"/>
          <w14:numForm w14:val="default"/>
          <w14:numSpacing w14:val="default"/>
        </w:rPr>
        <w:t>, </w:t>
      </w:r>
    </w:p>
    <w:p w14:paraId="4F6750CB" w14:textId="77777777" w:rsidR="002C0838" w:rsidRDefault="002C0838" w:rsidP="002C0838">
      <w:pPr>
        <w:spacing w:after="0" w:line="240" w:lineRule="auto"/>
        <w:jc w:val="left"/>
        <w:rPr>
          <w:rFonts w:ascii="Helvetica" w:hAnsi="Helvetica"/>
          <w:color w:val="1A1A1A"/>
          <w:spacing w:val="0"/>
          <w:kern w:val="0"/>
          <w:sz w:val="24"/>
          <w:szCs w:val="24"/>
          <w:shd w:val="clear" w:color="auto" w:fill="FFFFFF"/>
          <w14:ligatures w14:val="none"/>
          <w14:numForm w14:val="default"/>
          <w14:numSpacing w14:val="default"/>
        </w:rPr>
      </w:pPr>
    </w:p>
    <w:p w14:paraId="2C23A57C" w14:textId="77777777" w:rsidR="002C0838" w:rsidRPr="002C0838" w:rsidRDefault="002C0838" w:rsidP="002C0838">
      <w:pPr>
        <w:spacing w:after="0" w:line="240" w:lineRule="auto"/>
        <w:jc w:val="left"/>
        <w:textAlignment w:val="baseline"/>
        <w:rPr>
          <w:rFonts w:ascii="Helvetica" w:hAnsi="Helvetica"/>
          <w:color w:val="1A1A1A"/>
          <w:spacing w:val="0"/>
          <w:kern w:val="0"/>
          <w:sz w:val="24"/>
          <w:szCs w:val="24"/>
          <w14:ligatures w14:val="none"/>
          <w14:numForm w14:val="default"/>
          <w14:numSpacing w14:val="default"/>
        </w:rPr>
      </w:pPr>
      <w:r w:rsidRPr="002C0838">
        <w:rPr>
          <w:rFonts w:ascii="Helvetica" w:hAnsi="Helvetica"/>
          <w:color w:val="1A1A1A"/>
          <w:spacing w:val="0"/>
          <w:kern w:val="0"/>
          <w:sz w:val="24"/>
          <w:szCs w:val="24"/>
          <w14:ligatures w14:val="none"/>
          <w14:numForm w14:val="default"/>
          <w14:numSpacing w14:val="default"/>
        </w:rPr>
        <w:t>Passamonti</w:t>
      </w:r>
    </w:p>
    <w:p w14:paraId="6E904881" w14:textId="77777777" w:rsidR="002C0838" w:rsidRPr="002C0838" w:rsidRDefault="002C0838" w:rsidP="002C0838">
      <w:pPr>
        <w:spacing w:after="0" w:line="240" w:lineRule="auto"/>
        <w:jc w:val="left"/>
        <w:textAlignment w:val="baseline"/>
        <w:rPr>
          <w:rFonts w:ascii="Helvetica" w:hAnsi="Helvetica"/>
          <w:color w:val="1A1A1A"/>
          <w:spacing w:val="0"/>
          <w:kern w:val="0"/>
          <w:sz w:val="24"/>
          <w:szCs w:val="24"/>
          <w14:ligatures w14:val="none"/>
          <w14:numForm w14:val="default"/>
          <w14:numSpacing w14:val="default"/>
        </w:rPr>
      </w:pPr>
      <w:r w:rsidRPr="002C0838">
        <w:rPr>
          <w:rFonts w:ascii="Helvetica" w:hAnsi="Helvetica"/>
          <w:color w:val="1A1A1A"/>
          <w:spacing w:val="0"/>
          <w:kern w:val="0"/>
          <w:sz w:val="24"/>
          <w:szCs w:val="24"/>
          <w14:ligatures w14:val="none"/>
          <w14:numForm w14:val="default"/>
          <w14:numSpacing w14:val="default"/>
        </w:rPr>
        <w:t> </w:t>
      </w:r>
    </w:p>
    <w:p w14:paraId="06BE33E9" w14:textId="77777777" w:rsidR="002C0838" w:rsidRPr="002C0838" w:rsidRDefault="002C0838" w:rsidP="002C0838">
      <w:pPr>
        <w:spacing w:after="0" w:line="240" w:lineRule="auto"/>
        <w:jc w:val="left"/>
        <w:textAlignment w:val="baseline"/>
        <w:rPr>
          <w:rFonts w:ascii="Helvetica" w:hAnsi="Helvetica"/>
          <w:color w:val="1A1A1A"/>
          <w:spacing w:val="0"/>
          <w:kern w:val="0"/>
          <w:sz w:val="24"/>
          <w:szCs w:val="24"/>
          <w14:ligatures w14:val="none"/>
          <w14:numForm w14:val="default"/>
          <w14:numSpacing w14:val="default"/>
        </w:rPr>
      </w:pPr>
      <w:r w:rsidRPr="002C0838">
        <w:rPr>
          <w:rFonts w:ascii="Helvetica" w:hAnsi="Helvetica"/>
          <w:color w:val="1A1A1A"/>
          <w:spacing w:val="0"/>
          <w:kern w:val="0"/>
          <w:sz w:val="24"/>
          <w:szCs w:val="24"/>
          <w14:ligatures w14:val="none"/>
          <w14:numForm w14:val="default"/>
          <w14:numSpacing w14:val="default"/>
        </w:rPr>
        <w:t>, </w:t>
      </w:r>
    </w:p>
    <w:p w14:paraId="49DA2798" w14:textId="77777777" w:rsidR="002C0838" w:rsidRPr="002C0838" w:rsidRDefault="002C0838" w:rsidP="002C0838">
      <w:pPr>
        <w:spacing w:after="0" w:line="240" w:lineRule="auto"/>
        <w:jc w:val="left"/>
        <w:textAlignment w:val="baseline"/>
        <w:rPr>
          <w:rFonts w:ascii="Helvetica" w:hAnsi="Helvetica"/>
          <w:color w:val="1A1A1A"/>
          <w:spacing w:val="0"/>
          <w:kern w:val="0"/>
          <w:sz w:val="24"/>
          <w:szCs w:val="24"/>
          <w14:ligatures w14:val="none"/>
          <w14:numForm w14:val="default"/>
          <w14:numSpacing w14:val="default"/>
        </w:rPr>
      </w:pPr>
      <w:r w:rsidRPr="002C0838">
        <w:rPr>
          <w:rFonts w:ascii="Helvetica" w:hAnsi="Helvetica"/>
          <w:color w:val="1A1A1A"/>
          <w:spacing w:val="0"/>
          <w:kern w:val="0"/>
          <w:sz w:val="24"/>
          <w:szCs w:val="24"/>
          <w14:ligatures w14:val="none"/>
          <w14:numForm w14:val="default"/>
          <w14:numSpacing w14:val="default"/>
        </w:rPr>
        <w:t>Arcaini</w:t>
      </w:r>
    </w:p>
    <w:p w14:paraId="2DD383E6" w14:textId="2CDE5D31" w:rsidR="002C0838" w:rsidRPr="002C0838" w:rsidRDefault="002C0838" w:rsidP="002C0838">
      <w:pPr>
        <w:spacing w:after="0" w:line="240" w:lineRule="auto"/>
        <w:jc w:val="left"/>
        <w:textAlignment w:val="baseline"/>
        <w:rPr>
          <w:rFonts w:ascii="Helvetica" w:hAnsi="Helvetica"/>
          <w:color w:val="1A1A1A"/>
          <w:spacing w:val="0"/>
          <w:kern w:val="0"/>
          <w:sz w:val="24"/>
          <w:szCs w:val="24"/>
          <w14:ligatures w14:val="none"/>
          <w14:numForm w14:val="default"/>
          <w14:numSpacing w14:val="default"/>
        </w:rPr>
      </w:pPr>
    </w:p>
    <w:p w14:paraId="2677D92F" w14:textId="77777777" w:rsidR="002C0838" w:rsidRPr="002C0838" w:rsidRDefault="002C0838" w:rsidP="002C0838">
      <w:pPr>
        <w:spacing w:after="0" w:line="240" w:lineRule="auto"/>
        <w:jc w:val="left"/>
        <w:textAlignment w:val="baseline"/>
        <w:rPr>
          <w:rFonts w:ascii="Helvetica" w:hAnsi="Helvetica"/>
          <w:color w:val="1A1A1A"/>
          <w:spacing w:val="0"/>
          <w:kern w:val="0"/>
          <w:sz w:val="24"/>
          <w:szCs w:val="24"/>
          <w14:ligatures w14:val="none"/>
          <w14:numForm w14:val="default"/>
          <w14:numSpacing w14:val="default"/>
        </w:rPr>
      </w:pPr>
      <w:r w:rsidRPr="002C0838">
        <w:rPr>
          <w:rFonts w:ascii="Helvetica" w:hAnsi="Helvetica"/>
          <w:color w:val="1A1A1A"/>
          <w:spacing w:val="0"/>
          <w:kern w:val="0"/>
          <w:sz w:val="24"/>
          <w:szCs w:val="24"/>
          <w14:ligatures w14:val="none"/>
          <w14:numForm w14:val="default"/>
          <w14:numSpacing w14:val="default"/>
        </w:rPr>
        <w:t>Prognostic factors for thrombosis, myelofibrosis, and leukemia in essential thrombocythemia: a study of 605 patients.</w:t>
      </w:r>
    </w:p>
    <w:p w14:paraId="5ED3B69D" w14:textId="77777777" w:rsidR="002C0838" w:rsidRPr="002C0838" w:rsidRDefault="002C0838" w:rsidP="002C0838">
      <w:pPr>
        <w:spacing w:after="0" w:line="240" w:lineRule="auto"/>
        <w:jc w:val="left"/>
        <w:rPr>
          <w:rFonts w:ascii="Times New Roman" w:hAnsi="Times New Roman"/>
          <w:spacing w:val="0"/>
          <w:kern w:val="0"/>
          <w:sz w:val="24"/>
          <w:szCs w:val="24"/>
          <w14:ligatures w14:val="none"/>
          <w14:numForm w14:val="default"/>
          <w14:numSpacing w14:val="default"/>
        </w:rPr>
      </w:pPr>
      <w:r w:rsidRPr="002C0838">
        <w:rPr>
          <w:rFonts w:ascii="Helvetica" w:hAnsi="Helvetica"/>
          <w:color w:val="1A1A1A"/>
          <w:spacing w:val="0"/>
          <w:kern w:val="0"/>
          <w:sz w:val="24"/>
          <w:szCs w:val="24"/>
          <w:shd w:val="clear" w:color="auto" w:fill="FFFFFF"/>
          <w14:ligatures w14:val="none"/>
          <w14:numForm w14:val="default"/>
          <w14:numSpacing w14:val="default"/>
        </w:rPr>
        <w:t>, </w:t>
      </w:r>
    </w:p>
    <w:p w14:paraId="4582909C" w14:textId="5E43C1FD" w:rsidR="002C0838" w:rsidRPr="002C0838" w:rsidRDefault="002C0838" w:rsidP="002C0838">
      <w:pPr>
        <w:spacing w:after="0" w:line="240" w:lineRule="auto"/>
        <w:jc w:val="left"/>
        <w:rPr>
          <w:rFonts w:ascii="Times New Roman" w:hAnsi="Times New Roman"/>
          <w:spacing w:val="0"/>
          <w:kern w:val="0"/>
          <w:sz w:val="24"/>
          <w:szCs w:val="24"/>
          <w14:ligatures w14:val="none"/>
          <w14:numForm w14:val="default"/>
          <w14:numSpacing w14:val="default"/>
        </w:rPr>
      </w:pPr>
    </w:p>
  </w:comment>
  <w:comment w:id="3" w:author="Xia, Hui" w:date="2020-02-02T23:19:00Z" w:initials="XH">
    <w:p w14:paraId="217C8EBE" w14:textId="77777777" w:rsidR="006D150B" w:rsidRDefault="006D150B" w:rsidP="006D150B">
      <w:pPr>
        <w:pStyle w:val="Heading1"/>
        <w:spacing w:before="0" w:after="240"/>
        <w:rPr>
          <w:rFonts w:ascii="Georgia" w:hAnsi="Georgia"/>
          <w:b w:val="0"/>
          <w:color w:val="333333"/>
          <w:spacing w:val="0"/>
          <w:kern w:val="36"/>
          <w14:ligatures w14:val="none"/>
          <w14:numForm w14:val="default"/>
          <w14:numSpacing w14:val="default"/>
        </w:rPr>
      </w:pPr>
      <w:r>
        <w:rPr>
          <w:rStyle w:val="CommentReference"/>
        </w:rPr>
        <w:annotationRef/>
      </w:r>
      <w:r>
        <w:rPr>
          <w:rFonts w:ascii="Georgia" w:hAnsi="Georgia"/>
          <w:b w:val="0"/>
          <w:bCs/>
          <w:color w:val="333333"/>
        </w:rPr>
        <w:t>Essential thrombocythemia presenting as acute coronary syndrome: case reports and literature review</w:t>
      </w:r>
    </w:p>
    <w:p w14:paraId="427CCC17" w14:textId="77777777" w:rsidR="006D150B" w:rsidRDefault="006D150B" w:rsidP="006D150B">
      <w:pPr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ascii="&amp;quot" w:hAnsi="&amp;quot"/>
          <w:color w:val="333333"/>
        </w:rPr>
      </w:pPr>
      <w:hyperlink r:id="rId6" w:anchor="auth-1" w:history="1">
        <w:r>
          <w:rPr>
            <w:rStyle w:val="Hyperlink"/>
            <w:rFonts w:ascii="&amp;quot" w:hAnsi="&amp;quot"/>
            <w:color w:val="004B83"/>
          </w:rPr>
          <w:t>Nanqing Xiong</w:t>
        </w:r>
      </w:hyperlink>
      <w:r>
        <w:rPr>
          <w:rFonts w:ascii="&amp;quot" w:hAnsi="&amp;quot"/>
          <w:color w:val="333333"/>
        </w:rPr>
        <w:t xml:space="preserve">, </w:t>
      </w:r>
    </w:p>
    <w:p w14:paraId="48AE699E" w14:textId="77777777" w:rsidR="006D150B" w:rsidRDefault="006D150B" w:rsidP="006D150B">
      <w:pPr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ascii="&amp;quot" w:hAnsi="&amp;quot"/>
          <w:color w:val="333333"/>
        </w:rPr>
      </w:pPr>
      <w:hyperlink r:id="rId7" w:anchor="auth-2" w:history="1">
        <w:r>
          <w:rPr>
            <w:rStyle w:val="Hyperlink"/>
            <w:rFonts w:ascii="&amp;quot" w:hAnsi="&amp;quot"/>
            <w:color w:val="004B83"/>
          </w:rPr>
          <w:t>Wen Gao</w:t>
        </w:r>
      </w:hyperlink>
      <w:r>
        <w:rPr>
          <w:rFonts w:ascii="&amp;quot" w:hAnsi="&amp;quot"/>
          <w:color w:val="333333"/>
        </w:rPr>
        <w:t xml:space="preserve">, </w:t>
      </w:r>
    </w:p>
    <w:p w14:paraId="6616B560" w14:textId="77777777" w:rsidR="006D150B" w:rsidRDefault="006D150B" w:rsidP="006D150B">
      <w:pPr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ascii="&amp;quot" w:hAnsi="&amp;quot"/>
          <w:color w:val="333333"/>
        </w:rPr>
      </w:pPr>
      <w:hyperlink r:id="rId8" w:anchor="auth-3" w:history="1">
        <w:r>
          <w:rPr>
            <w:rStyle w:val="Hyperlink"/>
            <w:rFonts w:ascii="&amp;quot" w:hAnsi="&amp;quot"/>
            <w:color w:val="004B83"/>
          </w:rPr>
          <w:t>Junjie Pan</w:t>
        </w:r>
      </w:hyperlink>
      <w:r>
        <w:rPr>
          <w:rFonts w:ascii="&amp;quot" w:hAnsi="&amp;quot"/>
          <w:color w:val="333333"/>
        </w:rPr>
        <w:t xml:space="preserve">, </w:t>
      </w:r>
    </w:p>
    <w:p w14:paraId="1039220F" w14:textId="77777777" w:rsidR="006D150B" w:rsidRDefault="006D150B" w:rsidP="006D150B">
      <w:pPr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ascii="&amp;quot" w:hAnsi="&amp;quot"/>
          <w:color w:val="333333"/>
        </w:rPr>
      </w:pPr>
      <w:hyperlink r:id="rId9" w:anchor="auth-4" w:history="1">
        <w:r>
          <w:rPr>
            <w:rStyle w:val="Hyperlink"/>
            <w:rFonts w:ascii="&amp;quot" w:hAnsi="&amp;quot"/>
            <w:color w:val="004B83"/>
          </w:rPr>
          <w:t>Xinping Luo</w:t>
        </w:r>
      </w:hyperlink>
      <w:r>
        <w:rPr>
          <w:rFonts w:ascii="&amp;quot" w:hAnsi="&amp;quot"/>
          <w:color w:val="333333"/>
        </w:rPr>
        <w:t xml:space="preserve">, </w:t>
      </w:r>
    </w:p>
    <w:p w14:paraId="7ADC486D" w14:textId="77777777" w:rsidR="006D150B" w:rsidRDefault="006D150B" w:rsidP="006D150B">
      <w:pPr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ascii="&amp;quot" w:hAnsi="&amp;quot"/>
          <w:color w:val="333333"/>
        </w:rPr>
      </w:pPr>
      <w:hyperlink r:id="rId10" w:anchor="auth-5" w:history="1">
        <w:r>
          <w:rPr>
            <w:rStyle w:val="Hyperlink"/>
            <w:rFonts w:ascii="&amp;quot" w:hAnsi="&amp;quot"/>
            <w:color w:val="004B83"/>
          </w:rPr>
          <w:t>Haiming Shi</w:t>
        </w:r>
      </w:hyperlink>
      <w:r>
        <w:rPr>
          <w:rFonts w:ascii="&amp;quot" w:hAnsi="&amp;quot"/>
          <w:color w:val="333333"/>
        </w:rPr>
        <w:t xml:space="preserve"> &amp; </w:t>
      </w:r>
    </w:p>
    <w:p w14:paraId="6FD37987" w14:textId="77777777" w:rsidR="006D150B" w:rsidRDefault="006D150B" w:rsidP="006D150B">
      <w:pPr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ascii="&amp;quot" w:hAnsi="&amp;quot"/>
          <w:color w:val="333333"/>
        </w:rPr>
      </w:pPr>
      <w:hyperlink r:id="rId11" w:anchor="auth-6" w:history="1">
        <w:r>
          <w:rPr>
            <w:rStyle w:val="Hyperlink"/>
            <w:rFonts w:ascii="&amp;quot" w:hAnsi="&amp;quot"/>
            <w:color w:val="004B83"/>
          </w:rPr>
          <w:t>Jian Li</w:t>
        </w:r>
      </w:hyperlink>
      <w:r>
        <w:rPr>
          <w:rFonts w:ascii="&amp;quot" w:hAnsi="&amp;quot"/>
          <w:color w:val="333333"/>
        </w:rPr>
        <w:t> </w:t>
      </w:r>
    </w:p>
    <w:p w14:paraId="302E37E4" w14:textId="7822EAC2" w:rsidR="006D150B" w:rsidRDefault="006D150B">
      <w:pPr>
        <w:pStyle w:val="CommentText"/>
      </w:pPr>
    </w:p>
  </w:comment>
  <w:comment w:id="4" w:author="Xia, Hui" w:date="2020-02-02T23:21:00Z" w:initials="XH">
    <w:p w14:paraId="2FB7D21F" w14:textId="77777777" w:rsidR="00C74E7C" w:rsidRDefault="00C74E7C" w:rsidP="00C74E7C">
      <w:pPr>
        <w:pStyle w:val="Heading3"/>
        <w:spacing w:after="30" w:line="285" w:lineRule="atLeast"/>
        <w:ind w:right="1500"/>
        <w:rPr>
          <w:rFonts w:ascii="Arial" w:hAnsi="Arial" w:cs="Arial"/>
          <w:b w:val="0"/>
          <w:color w:val="222222"/>
          <w:kern w:val="0"/>
          <w:sz w:val="26"/>
          <w:szCs w:val="26"/>
          <w14:ligatures w14:val="none"/>
          <w14:numForm w14:val="default"/>
          <w14:numSpacing w14:val="default"/>
        </w:rPr>
      </w:pPr>
      <w:r>
        <w:rPr>
          <w:rStyle w:val="CommentReference"/>
        </w:rPr>
        <w:annotationRef/>
      </w:r>
      <w:hyperlink r:id="rId12" w:history="1">
        <w:r>
          <w:rPr>
            <w:rStyle w:val="Hyperlink"/>
            <w:rFonts w:ascii="Arial" w:hAnsi="Arial" w:cs="Arial"/>
            <w:color w:val="660099"/>
            <w:sz w:val="26"/>
            <w:szCs w:val="26"/>
          </w:rPr>
          <w:t>Anagrelide</w:t>
        </w:r>
      </w:hyperlink>
    </w:p>
    <w:p w14:paraId="3A04B65F" w14:textId="77777777" w:rsidR="00C74E7C" w:rsidRDefault="00C74E7C" w:rsidP="00C74E7C">
      <w:pPr>
        <w:rPr>
          <w:rFonts w:ascii="Arial" w:hAnsi="Arial" w:cs="Arial"/>
          <w:color w:val="006621"/>
          <w:sz w:val="20"/>
          <w:szCs w:val="20"/>
        </w:rPr>
      </w:pPr>
      <w:r>
        <w:rPr>
          <w:rFonts w:ascii="Arial" w:hAnsi="Arial" w:cs="Arial"/>
          <w:color w:val="006621"/>
          <w:sz w:val="20"/>
          <w:szCs w:val="20"/>
        </w:rPr>
        <w:t>CM Spencer, RN Brogden - Drugs, 1994 - Springer</w:t>
      </w:r>
    </w:p>
    <w:p w14:paraId="61D51C72" w14:textId="77777777" w:rsidR="00C74E7C" w:rsidRDefault="00C74E7C" w:rsidP="00C74E7C">
      <w:pPr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Synopsis Anagrelide, an orally active quinazolin, induces thrombocytopenia in humans and </w:t>
      </w:r>
      <w:r>
        <w:rPr>
          <w:rFonts w:ascii="Arial" w:hAnsi="Arial" w:cs="Arial"/>
          <w:color w:val="222222"/>
          <w:sz w:val="20"/>
          <w:szCs w:val="20"/>
        </w:rPr>
        <w:br/>
        <w:t xml:space="preserve">has therefore been evaluated for use in conditions associated with thrombocythaemia. In </w:t>
      </w:r>
      <w:r>
        <w:rPr>
          <w:rFonts w:ascii="Arial" w:hAnsi="Arial" w:cs="Arial"/>
          <w:color w:val="222222"/>
          <w:sz w:val="20"/>
          <w:szCs w:val="20"/>
        </w:rPr>
        <w:br/>
        <w:t>patients with essential or myeloproliferative thrombocythaemia, anagrelide (usually 1 to 4 …</w:t>
      </w:r>
    </w:p>
    <w:p w14:paraId="6DC3927F" w14:textId="47B13B9F" w:rsidR="00C74E7C" w:rsidRDefault="00C74E7C" w:rsidP="00C74E7C">
      <w:pPr>
        <w:pStyle w:val="CommentText"/>
      </w:pPr>
      <w:hyperlink r:id="rId13" w:history="1">
        <w:r>
          <w:rPr>
            <w:rStyle w:val="Hyperlink"/>
            <w:rFonts w:ascii="Arial" w:hAnsi="Arial" w:cs="Arial"/>
            <w:color w:val="1A0DAB"/>
          </w:rPr>
          <w:t>Cited by 68</w:t>
        </w:r>
      </w:hyperlink>
      <w:r>
        <w:rPr>
          <w:rFonts w:ascii="Arial" w:hAnsi="Arial" w:cs="Arial"/>
          <w:color w:val="777777"/>
          <w:sz w:val="2"/>
          <w:szCs w:val="2"/>
        </w:rPr>
        <w:t xml:space="preserve"> </w:t>
      </w:r>
      <w:hyperlink r:id="rId14" w:history="1">
        <w:r>
          <w:rPr>
            <w:rStyle w:val="Hyperlink"/>
            <w:rFonts w:ascii="Arial" w:hAnsi="Arial" w:cs="Arial"/>
            <w:color w:val="1A0DAB"/>
          </w:rPr>
          <w:t>Related articles</w:t>
        </w:r>
      </w:hyperlink>
      <w:r>
        <w:rPr>
          <w:rFonts w:ascii="Arial" w:hAnsi="Arial" w:cs="Arial"/>
          <w:color w:val="777777"/>
          <w:sz w:val="2"/>
          <w:szCs w:val="2"/>
        </w:rPr>
        <w:t xml:space="preserve"> </w:t>
      </w:r>
      <w:hyperlink r:id="rId15" w:history="1">
        <w:r>
          <w:rPr>
            <w:rStyle w:val="Hyperlink"/>
            <w:rFonts w:ascii="Arial" w:hAnsi="Arial" w:cs="Arial"/>
            <w:color w:val="1A0DAB"/>
          </w:rPr>
          <w:t>All 9 versions</w:t>
        </w:r>
      </w:hyperlink>
      <w:r>
        <w:rPr>
          <w:rFonts w:ascii="Arial" w:hAnsi="Arial" w:cs="Arial"/>
          <w:color w:val="777777"/>
          <w:sz w:val="2"/>
          <w:szCs w:val="2"/>
        </w:rPr>
        <w:t xml:space="preserve"> </w:t>
      </w:r>
      <w:hyperlink r:id="rId16" w:history="1">
        <w:r>
          <w:rPr>
            <w:rStyle w:val="Hyperlink"/>
            <w:rFonts w:ascii="Arial" w:hAnsi="Arial" w:cs="Arial"/>
            <w:color w:val="1A0DAB"/>
          </w:rPr>
          <w:t>Web of Science: 54</w:t>
        </w:r>
      </w:hyperlink>
    </w:p>
  </w:comment>
  <w:comment w:id="5" w:author="Xia, Hui" w:date="2020-02-02T23:23:00Z" w:initials="XH">
    <w:p w14:paraId="15AD5BA2" w14:textId="2CAF8264" w:rsidR="00C74E7C" w:rsidRDefault="00C74E7C">
      <w:pPr>
        <w:pStyle w:val="CommentText"/>
      </w:pPr>
      <w:r>
        <w:rPr>
          <w:rStyle w:val="CommentReference"/>
        </w:rPr>
        <w:annotationRef/>
      </w:r>
      <w:r w:rsidRPr="00C74E7C">
        <w:t>https://www.centerwatch.com/directories/1067-fda-approved-drugs/listing/3101-agrylin-anagrelide-hcl</w:t>
      </w:r>
    </w:p>
  </w:comment>
  <w:comment w:id="6" w:author="Xia, Hui" w:date="2020-02-02T23:33:00Z" w:initials="XH">
    <w:p w14:paraId="340B666F" w14:textId="33642B0C" w:rsidR="00436089" w:rsidRDefault="00436089">
      <w:pPr>
        <w:pStyle w:val="CommentText"/>
      </w:pPr>
      <w:r>
        <w:rPr>
          <w:rStyle w:val="CommentReference"/>
        </w:rPr>
        <w:annotationRef/>
      </w:r>
      <w:r>
        <w:rPr>
          <w:rStyle w:val="gsct1"/>
          <w:rFonts w:ascii="Arial" w:hAnsi="Arial" w:cs="Arial"/>
          <w:b/>
          <w:bCs/>
          <w:color w:val="1A0DAB"/>
          <w:sz w:val="17"/>
          <w:szCs w:val="17"/>
        </w:rPr>
        <w:t>[HTML]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hyperlink r:id="rId17" w:history="1">
        <w:r>
          <w:rPr>
            <w:rStyle w:val="Hyperlink"/>
            <w:rFonts w:ascii="Arial" w:eastAsiaTheme="minorEastAsia" w:hAnsi="Arial" w:cs="Arial"/>
            <w:color w:val="1A0DAB"/>
            <w:sz w:val="26"/>
            <w:szCs w:val="26"/>
          </w:rPr>
          <w:t xml:space="preserve">National Trends in Hospitalizations for Sickle Cell Disease in the United States following the </w:t>
        </w:r>
        <w:r>
          <w:rPr>
            <w:rStyle w:val="Hyperlink"/>
            <w:rFonts w:ascii="Arial" w:eastAsiaTheme="minorEastAsia" w:hAnsi="Arial" w:cs="Arial"/>
            <w:b/>
            <w:bCs/>
            <w:color w:val="1A0DAB"/>
            <w:sz w:val="26"/>
            <w:szCs w:val="26"/>
          </w:rPr>
          <w:t xml:space="preserve">FDA Approval </w:t>
        </w:r>
        <w:r>
          <w:rPr>
            <w:rStyle w:val="Hyperlink"/>
            <w:rFonts w:ascii="Arial" w:eastAsiaTheme="minorEastAsia" w:hAnsi="Arial" w:cs="Arial"/>
            <w:color w:val="1A0DAB"/>
            <w:sz w:val="26"/>
            <w:szCs w:val="26"/>
          </w:rPr>
          <w:t xml:space="preserve">of </w:t>
        </w:r>
        <w:r>
          <w:rPr>
            <w:rStyle w:val="Hyperlink"/>
            <w:rFonts w:ascii="Arial" w:eastAsiaTheme="minorEastAsia" w:hAnsi="Arial" w:cs="Arial"/>
            <w:b/>
            <w:bCs/>
            <w:color w:val="1A0DAB"/>
            <w:sz w:val="26"/>
            <w:szCs w:val="26"/>
          </w:rPr>
          <w:t>Hydroxyurea</w:t>
        </w:r>
        <w:r>
          <w:rPr>
            <w:rStyle w:val="Hyperlink"/>
            <w:rFonts w:ascii="Arial" w:eastAsiaTheme="minorEastAsia" w:hAnsi="Arial" w:cs="Arial"/>
            <w:color w:val="1A0DAB"/>
            <w:sz w:val="26"/>
            <w:szCs w:val="26"/>
          </w:rPr>
          <w:t>, 1998 to 2008</w:t>
        </w:r>
      </w:hyperlink>
    </w:p>
  </w:comment>
  <w:comment w:id="7" w:author="Xia, Hui" w:date="2020-02-02T23:40:00Z" w:initials="XH">
    <w:p w14:paraId="655619C3" w14:textId="48E7176C" w:rsidR="00436089" w:rsidRDefault="00436089">
      <w:pPr>
        <w:pStyle w:val="CommentText"/>
      </w:pPr>
      <w:r>
        <w:rPr>
          <w:rStyle w:val="CommentReference"/>
        </w:rPr>
        <w:annotationRef/>
      </w:r>
      <w:r w:rsidRPr="00436089">
        <w:t>https://www.drugs.com/price-guide/anagrelide</w:t>
      </w:r>
    </w:p>
  </w:comment>
  <w:comment w:id="8" w:author="Xia, Hui" w:date="2020-02-03T00:54:00Z" w:initials="XH">
    <w:p w14:paraId="4A6CB600" w14:textId="77777777" w:rsidR="00437F22" w:rsidRDefault="00437F22" w:rsidP="00437F22">
      <w:pPr>
        <w:autoSpaceDE w:val="0"/>
        <w:autoSpaceDN w:val="0"/>
        <w:adjustRightInd w:val="0"/>
        <w:spacing w:after="0" w:line="240" w:lineRule="auto"/>
        <w:jc w:val="left"/>
        <w:rPr>
          <w:rFonts w:ascii="AdvOTd40fda3b.B" w:eastAsiaTheme="minorHAnsi" w:hAnsi="AdvOTd40fda3b.B" w:cs="AdvOTd40fda3b.B"/>
          <w:spacing w:val="0"/>
          <w:kern w:val="0"/>
          <w:sz w:val="32"/>
          <w:szCs w:val="32"/>
          <w14:ligatures w14:val="none"/>
          <w14:numForm w14:val="default"/>
          <w14:numSpacing w14:val="default"/>
        </w:rPr>
      </w:pPr>
      <w:r>
        <w:rPr>
          <w:rStyle w:val="CommentReference"/>
        </w:rPr>
        <w:annotationRef/>
      </w:r>
      <w:r>
        <w:rPr>
          <w:rFonts w:ascii="AdvOTd40fda3b.B" w:eastAsiaTheme="minorHAnsi" w:hAnsi="AdvOTd40fda3b.B" w:cs="AdvOTd40fda3b.B"/>
          <w:spacing w:val="0"/>
          <w:kern w:val="0"/>
          <w:sz w:val="32"/>
          <w:szCs w:val="32"/>
          <w14:ligatures w14:val="none"/>
          <w14:numForm w14:val="default"/>
          <w14:numSpacing w14:val="default"/>
        </w:rPr>
        <w:t>Anagrelide compared with hydroxyurea in WHO-classi</w:t>
      </w:r>
      <w:r>
        <w:rPr>
          <w:rFonts w:ascii="AdvOTd40fda3b.B+fb" w:eastAsiaTheme="minorHAnsi" w:hAnsi="AdvOTd40fda3b.B+fb" w:cs="AdvOTd40fda3b.B+fb"/>
          <w:spacing w:val="0"/>
          <w:kern w:val="0"/>
          <w:sz w:val="32"/>
          <w:szCs w:val="32"/>
          <w14:ligatures w14:val="none"/>
          <w14:numForm w14:val="default"/>
          <w14:numSpacing w14:val="default"/>
        </w:rPr>
        <w:t>fi</w:t>
      </w:r>
      <w:r>
        <w:rPr>
          <w:rFonts w:ascii="AdvOTd40fda3b.B" w:eastAsiaTheme="minorHAnsi" w:hAnsi="AdvOTd40fda3b.B" w:cs="AdvOTd40fda3b.B"/>
          <w:spacing w:val="0"/>
          <w:kern w:val="0"/>
          <w:sz w:val="32"/>
          <w:szCs w:val="32"/>
          <w14:ligatures w14:val="none"/>
          <w14:numForm w14:val="default"/>
          <w14:numSpacing w14:val="default"/>
        </w:rPr>
        <w:t>ed essential</w:t>
      </w:r>
    </w:p>
    <w:p w14:paraId="478EF1FF" w14:textId="77777777" w:rsidR="00437F22" w:rsidRDefault="00437F22" w:rsidP="00437F22">
      <w:pPr>
        <w:autoSpaceDE w:val="0"/>
        <w:autoSpaceDN w:val="0"/>
        <w:adjustRightInd w:val="0"/>
        <w:spacing w:after="0" w:line="240" w:lineRule="auto"/>
        <w:jc w:val="left"/>
        <w:rPr>
          <w:rFonts w:ascii="AdvOTd40fda3b.B" w:eastAsiaTheme="minorHAnsi" w:hAnsi="AdvOTd40fda3b.B" w:cs="AdvOTd40fda3b.B"/>
          <w:spacing w:val="0"/>
          <w:kern w:val="0"/>
          <w:sz w:val="32"/>
          <w:szCs w:val="32"/>
          <w14:ligatures w14:val="none"/>
          <w14:numForm w14:val="default"/>
          <w14:numSpacing w14:val="default"/>
        </w:rPr>
      </w:pPr>
      <w:r>
        <w:rPr>
          <w:rFonts w:ascii="AdvOTd40fda3b.B" w:eastAsiaTheme="minorHAnsi" w:hAnsi="AdvOTd40fda3b.B" w:cs="AdvOTd40fda3b.B"/>
          <w:spacing w:val="0"/>
          <w:kern w:val="0"/>
          <w:sz w:val="32"/>
          <w:szCs w:val="32"/>
          <w14:ligatures w14:val="none"/>
          <w14:numForm w14:val="default"/>
          <w14:numSpacing w14:val="default"/>
        </w:rPr>
        <w:t>thrombocythemia: the ANAHYDRET Study, a randomized</w:t>
      </w:r>
    </w:p>
    <w:p w14:paraId="51E68EDD" w14:textId="77777777" w:rsidR="00437F22" w:rsidRDefault="00437F22" w:rsidP="00437F22">
      <w:pPr>
        <w:autoSpaceDE w:val="0"/>
        <w:autoSpaceDN w:val="0"/>
        <w:adjustRightInd w:val="0"/>
        <w:spacing w:after="0" w:line="240" w:lineRule="auto"/>
        <w:jc w:val="left"/>
        <w:rPr>
          <w:rFonts w:ascii="AdvOTd40fda3b.B" w:eastAsiaTheme="minorHAnsi" w:hAnsi="AdvOTd40fda3b.B" w:cs="AdvOTd40fda3b.B"/>
          <w:spacing w:val="0"/>
          <w:kern w:val="0"/>
          <w:sz w:val="32"/>
          <w:szCs w:val="32"/>
          <w14:ligatures w14:val="none"/>
          <w14:numForm w14:val="default"/>
          <w14:numSpacing w14:val="default"/>
        </w:rPr>
      </w:pPr>
      <w:r>
        <w:rPr>
          <w:rFonts w:ascii="AdvOTd40fda3b.B" w:eastAsiaTheme="minorHAnsi" w:hAnsi="AdvOTd40fda3b.B" w:cs="AdvOTd40fda3b.B"/>
          <w:spacing w:val="0"/>
          <w:kern w:val="0"/>
          <w:sz w:val="32"/>
          <w:szCs w:val="32"/>
          <w14:ligatures w14:val="none"/>
          <w14:numForm w14:val="default"/>
          <w14:numSpacing w14:val="default"/>
        </w:rPr>
        <w:t>controlled trial</w:t>
      </w:r>
    </w:p>
    <w:p w14:paraId="6896B223" w14:textId="15039C37" w:rsidR="00437F22" w:rsidRDefault="00437F22" w:rsidP="00437F22">
      <w:pPr>
        <w:pStyle w:val="CommentText"/>
      </w:pPr>
      <w:r>
        <w:rPr>
          <w:rFonts w:ascii="AdvPS6EC0" w:eastAsiaTheme="minorHAnsi" w:hAnsi="AdvPS6EC0" w:cs="AdvPS6EC0"/>
          <w:spacing w:val="0"/>
          <w:kern w:val="0"/>
          <w:sz w:val="18"/>
          <w:szCs w:val="18"/>
          <w14:ligatures w14:val="none"/>
          <w14:numForm w14:val="default"/>
          <w14:numSpacing w14:val="default"/>
        </w:rPr>
        <w:t>Heinz Gisslinger,</w:t>
      </w:r>
      <w:r>
        <w:rPr>
          <w:rFonts w:ascii="AdvPS6EC0" w:eastAsiaTheme="minorHAnsi" w:hAnsi="AdvPS6EC0" w:cs="AdvPS6EC0"/>
          <w:spacing w:val="0"/>
          <w:kern w:val="0"/>
          <w:sz w:val="12"/>
          <w:szCs w:val="12"/>
          <w14:ligatures w14:val="none"/>
          <w14:numForm w14:val="default"/>
          <w14:numSpacing w14:val="default"/>
        </w:rPr>
        <w:t xml:space="preserve">1 </w:t>
      </w:r>
      <w:r>
        <w:rPr>
          <w:rFonts w:ascii="AdvPS6EC0" w:eastAsiaTheme="minorHAnsi" w:hAnsi="AdvPS6EC0" w:cs="AdvPS6EC0"/>
          <w:spacing w:val="0"/>
          <w:kern w:val="0"/>
          <w:sz w:val="18"/>
          <w:szCs w:val="18"/>
          <w14:ligatures w14:val="none"/>
          <w14:numForm w14:val="default"/>
          <w14:numSpacing w14:val="default"/>
        </w:rPr>
        <w:t>Mirjana Gotic,</w:t>
      </w:r>
      <w:r>
        <w:rPr>
          <w:rFonts w:ascii="AdvPS6EC0" w:eastAsiaTheme="minorHAnsi" w:hAnsi="AdvPS6EC0" w:cs="AdvPS6EC0"/>
          <w:spacing w:val="0"/>
          <w:kern w:val="0"/>
          <w:sz w:val="12"/>
          <w:szCs w:val="12"/>
          <w14:ligatures w14:val="none"/>
          <w14:numForm w14:val="default"/>
          <w14:numSpacing w14:val="default"/>
        </w:rPr>
        <w:t>2</w:t>
      </w:r>
    </w:p>
  </w:comment>
  <w:comment w:id="9" w:author="Xia, Hui" w:date="2020-02-03T01:03:00Z" w:initials="XH">
    <w:p w14:paraId="576EEC74" w14:textId="0465816E" w:rsidR="00932A31" w:rsidRDefault="00932A31">
      <w:pPr>
        <w:pStyle w:val="CommentText"/>
      </w:pPr>
      <w:r>
        <w:rPr>
          <w:rStyle w:val="CommentReference"/>
        </w:rPr>
        <w:annotationRef/>
      </w:r>
      <w:r w:rsidRPr="00932A31">
        <w:t>2019-Decreased survival and increased rate of fibrotic progression in essential thrombocythemia chronicled after the FDA approval date of anagrelide</w:t>
      </w:r>
    </w:p>
  </w:comment>
  <w:comment w:id="10" w:author="Xia, Hui" w:date="2020-02-03T01:06:00Z" w:initials="XH">
    <w:p w14:paraId="4E3CD20A" w14:textId="77777777" w:rsidR="00932A31" w:rsidRDefault="00932A31" w:rsidP="00932A31">
      <w:pPr>
        <w:autoSpaceDE w:val="0"/>
        <w:autoSpaceDN w:val="0"/>
        <w:adjustRightInd w:val="0"/>
        <w:spacing w:after="0" w:line="240" w:lineRule="auto"/>
        <w:jc w:val="left"/>
        <w:rPr>
          <w:rFonts w:ascii="AdvOT46dcae81" w:eastAsiaTheme="minorHAnsi" w:hAnsi="AdvOT46dcae81" w:cs="AdvOT46dcae81"/>
          <w:spacing w:val="0"/>
          <w:kern w:val="0"/>
          <w:sz w:val="48"/>
          <w:szCs w:val="48"/>
          <w14:ligatures w14:val="none"/>
          <w14:numForm w14:val="default"/>
          <w14:numSpacing w14:val="default"/>
        </w:rPr>
      </w:pPr>
      <w:r>
        <w:rPr>
          <w:rStyle w:val="CommentReference"/>
        </w:rPr>
        <w:annotationRef/>
      </w:r>
      <w:r>
        <w:rPr>
          <w:rFonts w:ascii="AdvOT46dcae81" w:eastAsiaTheme="minorHAnsi" w:hAnsi="AdvOT46dcae81" w:cs="AdvOT46dcae81"/>
          <w:spacing w:val="0"/>
          <w:kern w:val="0"/>
          <w:sz w:val="48"/>
          <w:szCs w:val="48"/>
          <w14:ligatures w14:val="none"/>
          <w14:numForm w14:val="default"/>
          <w14:numSpacing w14:val="default"/>
        </w:rPr>
        <w:t>Essential thrombocythemia treatment</w:t>
      </w:r>
    </w:p>
    <w:p w14:paraId="687840F1" w14:textId="0E52A1E7" w:rsidR="00932A31" w:rsidRDefault="00932A31" w:rsidP="00932A31">
      <w:pPr>
        <w:pStyle w:val="CommentText"/>
      </w:pPr>
      <w:r>
        <w:rPr>
          <w:rFonts w:ascii="AdvOT46dcae81" w:eastAsiaTheme="minorHAnsi" w:hAnsi="AdvOT46dcae81" w:cs="AdvOT46dcae81"/>
          <w:spacing w:val="0"/>
          <w:kern w:val="0"/>
          <w:sz w:val="48"/>
          <w:szCs w:val="48"/>
          <w14:ligatures w14:val="none"/>
          <w14:numForm w14:val="default"/>
          <w14:numSpacing w14:val="default"/>
        </w:rPr>
        <w:t>algorithm 2018</w:t>
      </w:r>
    </w:p>
  </w:comment>
  <w:comment w:id="11" w:author="Xia, Hui" w:date="2020-02-03T01:24:00Z" w:initials="XH">
    <w:p w14:paraId="39CC886C" w14:textId="77777777" w:rsidR="00801160" w:rsidRDefault="00801160" w:rsidP="00801160">
      <w:pPr>
        <w:pStyle w:val="Heading3"/>
        <w:spacing w:after="30" w:line="285" w:lineRule="atLeast"/>
        <w:ind w:right="1500"/>
        <w:rPr>
          <w:rFonts w:ascii="Arial" w:hAnsi="Arial" w:cs="Arial"/>
          <w:b w:val="0"/>
          <w:color w:val="222222"/>
          <w:kern w:val="0"/>
          <w:sz w:val="26"/>
          <w:szCs w:val="26"/>
          <w14:ligatures w14:val="none"/>
          <w14:numForm w14:val="default"/>
          <w14:numSpacing w14:val="default"/>
        </w:rPr>
      </w:pPr>
      <w:r>
        <w:rPr>
          <w:rStyle w:val="CommentReference"/>
        </w:rPr>
        <w:annotationRef/>
      </w:r>
      <w:r>
        <w:rPr>
          <w:rStyle w:val="gsct1"/>
          <w:rFonts w:ascii="Arial" w:eastAsiaTheme="minorEastAsia" w:hAnsi="Arial" w:cs="Arial"/>
          <w:color w:val="1A0DAB"/>
          <w:sz w:val="17"/>
          <w:szCs w:val="17"/>
        </w:rPr>
        <w:t>[HTML]</w:t>
      </w:r>
      <w:r>
        <w:rPr>
          <w:rFonts w:ascii="Arial" w:hAnsi="Arial" w:cs="Arial"/>
          <w:b w:val="0"/>
          <w:bCs/>
          <w:color w:val="222222"/>
          <w:sz w:val="26"/>
          <w:szCs w:val="26"/>
        </w:rPr>
        <w:t xml:space="preserve"> </w:t>
      </w:r>
      <w:hyperlink r:id="rId18" w:history="1">
        <w:r>
          <w:rPr>
            <w:rStyle w:val="Hyperlink"/>
            <w:rFonts w:ascii="Arial" w:hAnsi="Arial" w:cs="Arial"/>
            <w:b w:val="0"/>
            <w:bCs/>
            <w:color w:val="1A0DAB"/>
            <w:sz w:val="26"/>
            <w:szCs w:val="26"/>
          </w:rPr>
          <w:t xml:space="preserve">Population estimates of </w:t>
        </w:r>
        <w:r>
          <w:rPr>
            <w:rStyle w:val="Hyperlink"/>
            <w:rFonts w:ascii="Arial" w:hAnsi="Arial" w:cs="Arial"/>
            <w:color w:val="1A0DAB"/>
            <w:sz w:val="26"/>
            <w:szCs w:val="26"/>
          </w:rPr>
          <w:t xml:space="preserve">sickle cell disease </w:t>
        </w:r>
        <w:r>
          <w:rPr>
            <w:rStyle w:val="Hyperlink"/>
            <w:rFonts w:ascii="Arial" w:hAnsi="Arial" w:cs="Arial"/>
            <w:b w:val="0"/>
            <w:bCs/>
            <w:color w:val="1A0DAB"/>
            <w:sz w:val="26"/>
            <w:szCs w:val="26"/>
          </w:rPr>
          <w:t xml:space="preserve">in the </w:t>
        </w:r>
        <w:r>
          <w:rPr>
            <w:rStyle w:val="Hyperlink"/>
            <w:rFonts w:ascii="Arial" w:hAnsi="Arial" w:cs="Arial"/>
            <w:color w:val="1A0DAB"/>
            <w:sz w:val="26"/>
            <w:szCs w:val="26"/>
          </w:rPr>
          <w:t>US</w:t>
        </w:r>
      </w:hyperlink>
    </w:p>
    <w:p w14:paraId="769A5FB0" w14:textId="77777777" w:rsidR="00801160" w:rsidRDefault="00801160" w:rsidP="00801160">
      <w:pPr>
        <w:rPr>
          <w:rFonts w:ascii="Arial" w:hAnsi="Arial" w:cs="Arial"/>
          <w:color w:val="006621"/>
          <w:sz w:val="20"/>
          <w:szCs w:val="20"/>
        </w:rPr>
      </w:pPr>
      <w:r>
        <w:rPr>
          <w:rFonts w:ascii="Arial" w:hAnsi="Arial" w:cs="Arial"/>
          <w:color w:val="006621"/>
          <w:sz w:val="20"/>
          <w:szCs w:val="20"/>
        </w:rPr>
        <w:t xml:space="preserve">KL Hassell - </w:t>
      </w:r>
      <w:r>
        <w:rPr>
          <w:rFonts w:ascii="Arial" w:hAnsi="Arial" w:cs="Arial"/>
          <w:b/>
          <w:bCs/>
          <w:color w:val="006621"/>
          <w:sz w:val="20"/>
          <w:szCs w:val="20"/>
        </w:rPr>
        <w:t xml:space="preserve">American </w:t>
      </w:r>
      <w:r>
        <w:rPr>
          <w:rFonts w:ascii="Arial" w:hAnsi="Arial" w:cs="Arial"/>
          <w:color w:val="006621"/>
          <w:sz w:val="20"/>
          <w:szCs w:val="20"/>
        </w:rPr>
        <w:t>journal of preventive medicine, 2010 - Elsevier</w:t>
      </w:r>
    </w:p>
    <w:p w14:paraId="131AB54C" w14:textId="02A9DCE2" w:rsidR="00801160" w:rsidRDefault="00801160">
      <w:pPr>
        <w:pStyle w:val="CommentText"/>
      </w:pPr>
    </w:p>
  </w:comment>
  <w:comment w:id="12" w:author="Xia, Hui" w:date="2020-02-03T01:24:00Z" w:initials="XH">
    <w:p w14:paraId="629B5321" w14:textId="7670A146" w:rsidR="00801160" w:rsidRDefault="00801160">
      <w:pPr>
        <w:pStyle w:val="CommentText"/>
      </w:pPr>
      <w:r>
        <w:rPr>
          <w:rStyle w:val="CommentReference"/>
        </w:rPr>
        <w:annotationRef/>
      </w:r>
      <w:hyperlink r:id="rId19" w:history="1"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 xml:space="preserve">Racial/ethnic differences in </w:t>
        </w:r>
        <w:r>
          <w:rPr>
            <w:rStyle w:val="Hyperlink"/>
            <w:rFonts w:ascii="Arial" w:eastAsiaTheme="majorEastAsia" w:hAnsi="Arial" w:cs="Arial"/>
            <w:b/>
            <w:bCs/>
            <w:color w:val="1A0DAB"/>
            <w:sz w:val="26"/>
            <w:szCs w:val="26"/>
          </w:rPr>
          <w:t xml:space="preserve">hypertension </w:t>
        </w:r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 xml:space="preserve">and </w:t>
        </w:r>
        <w:r>
          <w:rPr>
            <w:rStyle w:val="Hyperlink"/>
            <w:rFonts w:ascii="Arial" w:eastAsiaTheme="majorEastAsia" w:hAnsi="Arial" w:cs="Arial"/>
            <w:b/>
            <w:bCs/>
            <w:color w:val="1A0DAB"/>
            <w:sz w:val="26"/>
            <w:szCs w:val="26"/>
          </w:rPr>
          <w:t xml:space="preserve">hypertension treatment </w:t>
        </w:r>
        <w:r>
          <w:rPr>
            <w:rStyle w:val="Hyperlink"/>
            <w:rFonts w:ascii="Arial" w:eastAsiaTheme="majorEastAsia" w:hAnsi="Arial" w:cs="Arial"/>
            <w:color w:val="1A0DAB"/>
            <w:sz w:val="26"/>
            <w:szCs w:val="26"/>
          </w:rPr>
          <w:t>and control in the multi-ethnic study of atherosclerosis (MESA)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5DA340" w15:done="0"/>
  <w15:commentEx w15:paraId="12A80749" w15:done="0"/>
  <w15:commentEx w15:paraId="4582909C" w15:done="0"/>
  <w15:commentEx w15:paraId="302E37E4" w15:done="0"/>
  <w15:commentEx w15:paraId="6DC3927F" w15:done="0"/>
  <w15:commentEx w15:paraId="15AD5BA2" w15:done="0"/>
  <w15:commentEx w15:paraId="340B666F" w15:done="0"/>
  <w15:commentEx w15:paraId="655619C3" w15:done="0"/>
  <w15:commentEx w15:paraId="6896B223" w15:done="0"/>
  <w15:commentEx w15:paraId="576EEC74" w15:done="0"/>
  <w15:commentEx w15:paraId="687840F1" w15:done="0"/>
  <w15:commentEx w15:paraId="131AB54C" w15:done="0"/>
  <w15:commentEx w15:paraId="629B532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9BCDF" w14:textId="77777777" w:rsidR="00787A43" w:rsidRDefault="00787A43" w:rsidP="00126D77">
      <w:r>
        <w:separator/>
      </w:r>
    </w:p>
  </w:endnote>
  <w:endnote w:type="continuationSeparator" w:id="0">
    <w:p w14:paraId="5BA1DC97" w14:textId="77777777" w:rsidR="00787A43" w:rsidRDefault="00787A43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dvOTd40fda3b.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d40fda3b.B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S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46dcae8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61F580DC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01160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BD9F0" w14:textId="77777777" w:rsidR="00787A43" w:rsidRDefault="00787A43" w:rsidP="0060186D">
      <w:pPr>
        <w:spacing w:after="0" w:line="110" w:lineRule="exact"/>
      </w:pPr>
    </w:p>
  </w:footnote>
  <w:footnote w:type="continuationSeparator" w:id="0">
    <w:p w14:paraId="76E1D531" w14:textId="77777777" w:rsidR="00787A43" w:rsidRPr="00BB7AEF" w:rsidRDefault="00787A43" w:rsidP="00BB7AEF">
      <w:pPr>
        <w:spacing w:after="0" w:line="20" w:lineRule="exact"/>
        <w:rPr>
          <w:sz w:val="2"/>
        </w:rPr>
      </w:pPr>
    </w:p>
  </w:footnote>
  <w:footnote w:type="continuationNotice" w:id="1">
    <w:p w14:paraId="724EB5E7" w14:textId="77777777" w:rsidR="00787A43" w:rsidRPr="00AE67B5" w:rsidRDefault="00787A43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4F45F1"/>
    <w:multiLevelType w:val="multilevel"/>
    <w:tmpl w:val="063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22DD38F1"/>
    <w:multiLevelType w:val="hybridMultilevel"/>
    <w:tmpl w:val="3A0AFF14"/>
    <w:lvl w:ilvl="0" w:tplc="26F4EC82">
      <w:start w:val="3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915BD8"/>
    <w:multiLevelType w:val="hybridMultilevel"/>
    <w:tmpl w:val="669A9AF4"/>
    <w:lvl w:ilvl="0" w:tplc="88E67CC0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27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6"/>
  </w:num>
  <w:num w:numId="6">
    <w:abstractNumId w:val="16"/>
  </w:num>
  <w:num w:numId="7">
    <w:abstractNumId w:val="34"/>
  </w:num>
  <w:num w:numId="8">
    <w:abstractNumId w:val="8"/>
  </w:num>
  <w:num w:numId="9">
    <w:abstractNumId w:val="35"/>
  </w:num>
  <w:num w:numId="10">
    <w:abstractNumId w:val="15"/>
  </w:num>
  <w:num w:numId="11">
    <w:abstractNumId w:val="11"/>
  </w:num>
  <w:num w:numId="12">
    <w:abstractNumId w:val="28"/>
  </w:num>
  <w:num w:numId="13">
    <w:abstractNumId w:val="14"/>
  </w:num>
  <w:num w:numId="14">
    <w:abstractNumId w:val="31"/>
  </w:num>
  <w:num w:numId="15">
    <w:abstractNumId w:val="38"/>
  </w:num>
  <w:num w:numId="16">
    <w:abstractNumId w:val="36"/>
    <w:lvlOverride w:ilvl="0">
      <w:startOverride w:val="1"/>
    </w:lvlOverride>
  </w:num>
  <w:num w:numId="17">
    <w:abstractNumId w:val="36"/>
    <w:lvlOverride w:ilvl="0">
      <w:startOverride w:val="1"/>
    </w:lvlOverride>
  </w:num>
  <w:num w:numId="18">
    <w:abstractNumId w:val="36"/>
    <w:lvlOverride w:ilvl="0">
      <w:startOverride w:val="1"/>
    </w:lvlOverride>
  </w:num>
  <w:num w:numId="19">
    <w:abstractNumId w:val="36"/>
    <w:lvlOverride w:ilvl="0">
      <w:startOverride w:val="1"/>
    </w:lvlOverride>
  </w:num>
  <w:num w:numId="20">
    <w:abstractNumId w:val="36"/>
    <w:lvlOverride w:ilvl="0">
      <w:startOverride w:val="1"/>
    </w:lvlOverride>
  </w:num>
  <w:num w:numId="21">
    <w:abstractNumId w:val="36"/>
    <w:lvlOverride w:ilvl="0">
      <w:startOverride w:val="1"/>
    </w:lvlOverride>
  </w:num>
  <w:num w:numId="22">
    <w:abstractNumId w:val="0"/>
  </w:num>
  <w:num w:numId="23">
    <w:abstractNumId w:val="29"/>
  </w:num>
  <w:num w:numId="24">
    <w:abstractNumId w:val="29"/>
    <w:lvlOverride w:ilvl="0">
      <w:startOverride w:val="1"/>
    </w:lvlOverride>
  </w:num>
  <w:num w:numId="25">
    <w:abstractNumId w:val="37"/>
  </w:num>
  <w:num w:numId="26">
    <w:abstractNumId w:val="7"/>
  </w:num>
  <w:num w:numId="27">
    <w:abstractNumId w:val="19"/>
  </w:num>
  <w:num w:numId="28">
    <w:abstractNumId w:val="20"/>
  </w:num>
  <w:num w:numId="29">
    <w:abstractNumId w:val="5"/>
  </w:num>
  <w:num w:numId="30">
    <w:abstractNumId w:val="2"/>
  </w:num>
  <w:num w:numId="31">
    <w:abstractNumId w:val="13"/>
  </w:num>
  <w:num w:numId="32">
    <w:abstractNumId w:val="17"/>
  </w:num>
  <w:num w:numId="33">
    <w:abstractNumId w:val="1"/>
  </w:num>
  <w:num w:numId="34">
    <w:abstractNumId w:val="18"/>
  </w:num>
  <w:num w:numId="35">
    <w:abstractNumId w:val="22"/>
  </w:num>
  <w:num w:numId="36">
    <w:abstractNumId w:val="10"/>
  </w:num>
  <w:num w:numId="37">
    <w:abstractNumId w:val="30"/>
  </w:num>
  <w:num w:numId="38">
    <w:abstractNumId w:val="25"/>
  </w:num>
  <w:num w:numId="39">
    <w:abstractNumId w:val="24"/>
  </w:num>
  <w:num w:numId="40">
    <w:abstractNumId w:val="21"/>
  </w:num>
  <w:num w:numId="41">
    <w:abstractNumId w:val="12"/>
  </w:num>
  <w:num w:numId="42">
    <w:abstractNumId w:val="26"/>
  </w:num>
  <w:num w:numId="43">
    <w:abstractNumId w:val="39"/>
  </w:num>
  <w:num w:numId="44">
    <w:abstractNumId w:val="23"/>
  </w:num>
  <w:num w:numId="45">
    <w:abstractNumId w:val="40"/>
  </w:num>
  <w:num w:numId="46">
    <w:abstractNumId w:val="33"/>
  </w:num>
  <w:num w:numId="47">
    <w:abstractNumId w:val="4"/>
  </w:num>
  <w:num w:numId="48">
    <w:abstractNumId w:val="9"/>
  </w:num>
  <w:num w:numId="4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Xia, Hui">
    <w15:presenceInfo w15:providerId="None" w15:userId="Xia, Hu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7ECF"/>
    <w:rsid w:val="001226B8"/>
    <w:rsid w:val="00124EC2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FB5"/>
    <w:rsid w:val="00155D9A"/>
    <w:rsid w:val="00156F11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6C96"/>
    <w:rsid w:val="0027188D"/>
    <w:rsid w:val="00271FF2"/>
    <w:rsid w:val="00272991"/>
    <w:rsid w:val="00280650"/>
    <w:rsid w:val="00281FCB"/>
    <w:rsid w:val="002839B1"/>
    <w:rsid w:val="0028491E"/>
    <w:rsid w:val="00287386"/>
    <w:rsid w:val="00290E84"/>
    <w:rsid w:val="00293BC0"/>
    <w:rsid w:val="002948EC"/>
    <w:rsid w:val="0029645B"/>
    <w:rsid w:val="002A09D4"/>
    <w:rsid w:val="002A346E"/>
    <w:rsid w:val="002B1C35"/>
    <w:rsid w:val="002B2730"/>
    <w:rsid w:val="002B2A98"/>
    <w:rsid w:val="002B63CA"/>
    <w:rsid w:val="002B64D6"/>
    <w:rsid w:val="002B7FCB"/>
    <w:rsid w:val="002C0838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40B08"/>
    <w:rsid w:val="00345542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2377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7B8C"/>
    <w:rsid w:val="004027C6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36089"/>
    <w:rsid w:val="00437F22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150B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3A6E"/>
    <w:rsid w:val="00784B78"/>
    <w:rsid w:val="00786AA8"/>
    <w:rsid w:val="007878D4"/>
    <w:rsid w:val="00787A43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F4A49"/>
    <w:rsid w:val="007F6D17"/>
    <w:rsid w:val="007F6F9E"/>
    <w:rsid w:val="00801160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FC4"/>
    <w:rsid w:val="00905E9C"/>
    <w:rsid w:val="00907467"/>
    <w:rsid w:val="009239B2"/>
    <w:rsid w:val="00925331"/>
    <w:rsid w:val="00927C2B"/>
    <w:rsid w:val="009322EE"/>
    <w:rsid w:val="00932A31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4AA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6DE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E0D65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4E7C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5525"/>
    <w:rsid w:val="00D463B0"/>
    <w:rsid w:val="00D47D32"/>
    <w:rsid w:val="00D47DFE"/>
    <w:rsid w:val="00D501FF"/>
    <w:rsid w:val="00D5034D"/>
    <w:rsid w:val="00D518D5"/>
    <w:rsid w:val="00D51D2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3678"/>
    <w:rsid w:val="00DF6274"/>
    <w:rsid w:val="00DF781C"/>
    <w:rsid w:val="00E026B9"/>
    <w:rsid w:val="00E07F1C"/>
    <w:rsid w:val="00E15396"/>
    <w:rsid w:val="00E23667"/>
    <w:rsid w:val="00E23FB0"/>
    <w:rsid w:val="00E24AA8"/>
    <w:rsid w:val="00E26A93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C48"/>
    <w:rsid w:val="00E972F7"/>
    <w:rsid w:val="00EA7B3D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536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491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1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542"/>
    <w:pPr>
      <w:keepNext/>
      <w:keepLines/>
      <w:numPr>
        <w:numId w:val="48"/>
      </w:numPr>
      <w:suppressAutoHyphens/>
      <w:spacing w:before="170"/>
      <w:ind w:left="270" w:hanging="2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B4491E"/>
    <w:rPr>
      <w:rFonts w:ascii="Palatino Linotype" w:eastAsiaTheme="majorEastAsia" w:hAnsi="Palatino Linotype" w:cs="Times New Roman (Headings CS)"/>
      <w:b/>
      <w:caps/>
      <w:spacing w:val="11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345542"/>
    <w:rPr>
      <w:rFonts w:ascii="Palatino Linotype" w:eastAsiaTheme="majorEastAsia" w:hAnsi="Palatino Linotype" w:cs="Times New Roman (Headings CS)"/>
      <w:b/>
      <w:color w:val="000000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F06BB2"/>
    <w:pPr>
      <w:spacing w:after="110" w:line="280" w:lineRule="exact"/>
      <w:ind w:left="1440" w:right="1440"/>
    </w:pPr>
    <w:rPr>
      <w:bCs/>
      <w:spacing w:val="2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F06BB2"/>
    <w:rPr>
      <w:rFonts w:ascii="Palatino Linotype" w:eastAsia="Times New Roman" w:hAnsi="Palatino Linotype" w:cs="Times New Roman"/>
      <w:bCs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425FB1"/>
    <w:pPr>
      <w:numPr>
        <w:numId w:val="44"/>
      </w:numPr>
      <w:tabs>
        <w:tab w:val="left" w:pos="2250"/>
      </w:tabs>
      <w:ind w:firstLine="0"/>
    </w:pPr>
  </w:style>
  <w:style w:type="paragraph" w:customStyle="1" w:styleId="TableCaption">
    <w:name w:val="Table Caption"/>
    <w:basedOn w:val="CaptionText"/>
    <w:qFormat/>
    <w:rsid w:val="00F06BB2"/>
    <w:pPr>
      <w:numPr>
        <w:numId w:val="46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2C0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08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0838"/>
    <w:rPr>
      <w:rFonts w:ascii="Palatino Linotype" w:eastAsia="Times New Roman" w:hAnsi="Palatino Linotype" w:cs="Times New Roman"/>
      <w:spacing w:val="1"/>
      <w:kern w:val="16"/>
      <w:sz w:val="20"/>
      <w:szCs w:val="20"/>
      <w14:ligatures w14:val="standardContextual"/>
      <w14:numForm w14:val="oldStyle"/>
      <w14:numSpacing w14:val="proportion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0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0838"/>
    <w:rPr>
      <w:rFonts w:ascii="Palatino Linotype" w:eastAsia="Times New Roman" w:hAnsi="Palatino Linotype" w:cs="Times New Roman"/>
      <w:b/>
      <w:bCs/>
      <w:spacing w:val="1"/>
      <w:kern w:val="16"/>
      <w:sz w:val="20"/>
      <w:szCs w:val="20"/>
      <w14:ligatures w14:val="standardContextual"/>
      <w14:numForm w14:val="oldStyle"/>
      <w14:numSpacing w14:val="proportional"/>
    </w:rPr>
  </w:style>
  <w:style w:type="character" w:customStyle="1" w:styleId="gsct1">
    <w:name w:val="gs_ct1"/>
    <w:basedOn w:val="DefaultParagraphFont"/>
    <w:rsid w:val="00436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9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44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92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1239-017-1490-4" TargetMode="External"/><Relationship Id="rId13" Type="http://schemas.openxmlformats.org/officeDocument/2006/relationships/hyperlink" Target="https://scholar.google.com/scholar?cites=16255536634067836548&amp;as_sdt=5,44&amp;sciodt=0,44&amp;hl=en" TargetMode="External"/><Relationship Id="rId18" Type="http://schemas.openxmlformats.org/officeDocument/2006/relationships/hyperlink" Target="https://www.sciencedirect.com/science/article/pii/S074937970900960X" TargetMode="External"/><Relationship Id="rId3" Type="http://schemas.openxmlformats.org/officeDocument/2006/relationships/hyperlink" Target="https://scholar.google.com/scholar?q=related:hF72cnFEl-EJ:scholar.google.com/&amp;scioq=Anagrelide&amp;hl=en&amp;as_sdt=0,44" TargetMode="External"/><Relationship Id="rId7" Type="http://schemas.openxmlformats.org/officeDocument/2006/relationships/hyperlink" Target="https://link.springer.com/article/10.1007/s11239-017-1490-4" TargetMode="External"/><Relationship Id="rId12" Type="http://schemas.openxmlformats.org/officeDocument/2006/relationships/hyperlink" Target="https://link.springer.com/article/10.2165/00003495-199447050-00007" TargetMode="External"/><Relationship Id="rId17" Type="http://schemas.openxmlformats.org/officeDocument/2006/relationships/hyperlink" Target="https://www.ncbi.nlm.nih.gov/pmc/articles/PMC4177169/" TargetMode="External"/><Relationship Id="rId2" Type="http://schemas.openxmlformats.org/officeDocument/2006/relationships/hyperlink" Target="https://scholar.google.com/scholar?cites=16255536634067836548&amp;as_sdt=5,44&amp;sciodt=0,44&amp;hl=en" TargetMode="External"/><Relationship Id="rId16" Type="http://schemas.openxmlformats.org/officeDocument/2006/relationships/hyperlink" Target="http://gateway.webofknowledge.com/gateway/Gateway.cgi?GWVersion=2&amp;SrcApp=GSSearch&amp;SrcAuth=Scholar&amp;DestApp=WOS_CPL&amp;DestLinkType=CitingArticles&amp;UT=A1994NK83700007&amp;SrcURL=https://scholar.google.com/&amp;SrcDesc=Back+to+Google+Scholar&amp;GSPage=TC" TargetMode="External"/><Relationship Id="rId1" Type="http://schemas.openxmlformats.org/officeDocument/2006/relationships/hyperlink" Target="https://link.springer.com/article/10.2165/00003495-199447050-00007" TargetMode="External"/><Relationship Id="rId6" Type="http://schemas.openxmlformats.org/officeDocument/2006/relationships/hyperlink" Target="https://link.springer.com/article/10.1007/s11239-017-1490-4" TargetMode="External"/><Relationship Id="rId11" Type="http://schemas.openxmlformats.org/officeDocument/2006/relationships/hyperlink" Target="https://link.springer.com/article/10.1007/s11239-017-1490-4" TargetMode="External"/><Relationship Id="rId5" Type="http://schemas.openxmlformats.org/officeDocument/2006/relationships/hyperlink" Target="http://gateway.webofknowledge.com/gateway/Gateway.cgi?GWVersion=2&amp;SrcApp=GSSearch&amp;SrcAuth=Scholar&amp;DestApp=WOS_CPL&amp;DestLinkType=CitingArticles&amp;UT=A1994NK83700007&amp;SrcURL=https://scholar.google.com/&amp;SrcDesc=Back+to+Google+Scholar&amp;GSPage=TC" TargetMode="External"/><Relationship Id="rId15" Type="http://schemas.openxmlformats.org/officeDocument/2006/relationships/hyperlink" Target="https://scholar.google.com/scholar?cluster=16255536634067836548&amp;hl=en&amp;as_sdt=0,44" TargetMode="External"/><Relationship Id="rId10" Type="http://schemas.openxmlformats.org/officeDocument/2006/relationships/hyperlink" Target="https://link.springer.com/article/10.1007/s11239-017-1490-4" TargetMode="External"/><Relationship Id="rId19" Type="http://schemas.openxmlformats.org/officeDocument/2006/relationships/hyperlink" Target="https://academic.oup.com/ajh/article-abstract/17/10/963/107125" TargetMode="External"/><Relationship Id="rId4" Type="http://schemas.openxmlformats.org/officeDocument/2006/relationships/hyperlink" Target="https://scholar.google.com/scholar?cluster=16255536634067836548&amp;hl=en&amp;as_sdt=0,44" TargetMode="External"/><Relationship Id="rId9" Type="http://schemas.openxmlformats.org/officeDocument/2006/relationships/hyperlink" Target="https://link.springer.com/article/10.1007/s11239-017-1490-4" TargetMode="External"/><Relationship Id="rId14" Type="http://schemas.openxmlformats.org/officeDocument/2006/relationships/hyperlink" Target="https://scholar.google.com/scholar?q=related:hF72cnFEl-EJ:scholar.google.com/&amp;scioq=Anagrelide&amp;hl=en&amp;as_sdt=0,44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8046-D50A-4C0A-80E0-2BD94303E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</Template>
  <TotalTime>542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Xia, Hui</cp:lastModifiedBy>
  <cp:revision>18</cp:revision>
  <cp:lastPrinted>2019-05-10T20:56:00Z</cp:lastPrinted>
  <dcterms:created xsi:type="dcterms:W3CDTF">2019-05-10T20:56:00Z</dcterms:created>
  <dcterms:modified xsi:type="dcterms:W3CDTF">2020-02-03T07:25:00Z</dcterms:modified>
</cp:coreProperties>
</file>