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05A266" w14:textId="393C9DBA" w:rsidR="00F34B05" w:rsidRPr="00E048F3" w:rsidRDefault="00811E15" w:rsidP="002161A5">
      <w:pPr>
        <w:shd w:val="clear" w:color="auto" w:fill="FFFFFF"/>
        <w:spacing w:before="240" w:after="360"/>
        <w:jc w:val="center"/>
        <w:outlineLvl w:val="3"/>
        <w:rPr>
          <w:rFonts w:ascii="Arial" w:hAnsi="Arial" w:cs="Arial"/>
          <w:b/>
          <w:bCs/>
          <w:sz w:val="27"/>
          <w:szCs w:val="27"/>
        </w:rPr>
      </w:pPr>
      <w:r w:rsidRPr="00811E15">
        <w:rPr>
          <w:rFonts w:ascii="Arial" w:hAnsi="Arial" w:cs="Arial"/>
          <w:b/>
          <w:bCs/>
          <w:sz w:val="27"/>
          <w:szCs w:val="27"/>
        </w:rPr>
        <w:t>Angiotensin converting enzyme inhibitors and risk of cancer</w:t>
      </w:r>
    </w:p>
    <w:p w14:paraId="4AF41836" w14:textId="5D3C7EE7" w:rsidR="00560143" w:rsidRDefault="006C7A64" w:rsidP="00E2271F">
      <w:pPr>
        <w:pStyle w:val="Header4"/>
        <w:rPr>
          <w:u w:val="none"/>
        </w:rPr>
      </w:pPr>
      <w:bookmarkStart w:id="0" w:name="clinical_question"/>
      <w:bookmarkEnd w:id="0"/>
      <w:r>
        <w:rPr>
          <w:u w:val="none"/>
        </w:rPr>
        <w:t>Introduction</w:t>
      </w:r>
    </w:p>
    <w:p w14:paraId="7D8686AA" w14:textId="2DE07FD5" w:rsidR="001A717B" w:rsidRPr="001A717B" w:rsidRDefault="001A717B" w:rsidP="006C7A64">
      <w:pPr>
        <w:spacing w:beforeLines="100" w:before="240" w:after="20"/>
        <w:rPr>
          <w:rFonts w:ascii="Arial" w:hAnsi="Arial" w:cs="Arial"/>
          <w:bCs/>
          <w:i/>
          <w:iCs/>
        </w:rPr>
      </w:pPr>
      <w:r w:rsidRPr="00282A06">
        <w:rPr>
          <w:rFonts w:ascii="Arial" w:hAnsi="Arial" w:cs="Arial"/>
          <w:bCs/>
          <w:i/>
          <w:iCs/>
        </w:rPr>
        <w:t>What are ACE inhibitors?</w:t>
      </w:r>
    </w:p>
    <w:p w14:paraId="10C9D112" w14:textId="342BBB9C" w:rsidR="002161A5" w:rsidRDefault="002161A5" w:rsidP="006C7A64">
      <w:pPr>
        <w:spacing w:beforeLines="100" w:before="240" w:after="20"/>
        <w:rPr>
          <w:rFonts w:ascii="Arial" w:hAnsi="Arial" w:cs="Arial"/>
          <w:bCs/>
        </w:rPr>
      </w:pPr>
      <w:r>
        <w:rPr>
          <w:rFonts w:ascii="Arial" w:hAnsi="Arial" w:cs="Arial"/>
          <w:bCs/>
        </w:rPr>
        <w:t>Angiotensin</w:t>
      </w:r>
      <w:r>
        <w:rPr>
          <w:rFonts w:ascii="Arial" w:hAnsi="Arial" w:cs="Arial"/>
          <w:bCs/>
        </w:rPr>
        <w:t>-converting en</w:t>
      </w:r>
      <w:r w:rsidR="00CA0570">
        <w:rPr>
          <w:rFonts w:ascii="Arial" w:hAnsi="Arial" w:cs="Arial"/>
          <w:bCs/>
        </w:rPr>
        <w:t>z</w:t>
      </w:r>
      <w:r>
        <w:rPr>
          <w:rFonts w:ascii="Arial" w:hAnsi="Arial" w:cs="Arial"/>
          <w:bCs/>
        </w:rPr>
        <w:t>yme (ACE) inhibitors</w:t>
      </w:r>
      <w:r>
        <w:rPr>
          <w:rFonts w:ascii="Arial" w:hAnsi="Arial" w:cs="Arial"/>
          <w:bCs/>
        </w:rPr>
        <w:t xml:space="preserve"> </w:t>
      </w:r>
      <w:r>
        <w:rPr>
          <w:rFonts w:ascii="Arial" w:hAnsi="Arial" w:cs="Arial"/>
          <w:bCs/>
        </w:rPr>
        <w:t>are factors that prevent an enzyme from producing angiotensin II which subsequentially narrows down vessels. Since angiotensin II releases substances t</w:t>
      </w:r>
      <w:bookmarkStart w:id="1" w:name="_GoBack"/>
      <w:bookmarkEnd w:id="1"/>
      <w:r>
        <w:rPr>
          <w:rFonts w:ascii="Arial" w:hAnsi="Arial" w:cs="Arial"/>
          <w:bCs/>
        </w:rPr>
        <w:t>hat raise blood pressure, ACE inhibitors also have the effect of lowering blood pressure</w:t>
      </w:r>
      <w:r>
        <w:rPr>
          <w:rFonts w:ascii="Arial" w:hAnsi="Arial" w:cs="Arial"/>
          <w:bCs/>
        </w:rPr>
        <w:t xml:space="preserve"> </w:t>
      </w:r>
      <w:r w:rsidR="005E53FF">
        <w:rPr>
          <w:rFonts w:ascii="Arial" w:hAnsi="Arial" w:cs="Arial"/>
          <w:bCs/>
        </w:rPr>
        <w:fldChar w:fldCharType="begin" w:fldLock="1"/>
      </w:r>
      <w:r w:rsidR="005E53FF">
        <w:rPr>
          <w:rFonts w:ascii="Arial" w:hAnsi="Arial" w:cs="Arial"/>
          <w:bCs/>
        </w:rPr>
        <w:instrText>ADDIN CSL_CITATION {"citationItems":[{"id":"ITEM-1","itemData":{"URL":"https://www.mayoclinic.org/diseases-conditions/high-blood-pressure/in-depth/ace-inhibitors/art-20047480","accessed":{"date-parts":[["2020","2","2"]]},"id":"ITEM-1","issued":{"date-parts":[["0"]]},"title":"Angiotensin-converting enzyme (ACE) inhibitors - Mayo Clinic","type":"webpage"},"uris":["http://www.mendeley.com/documents/?uuid=5d9ca93c-2604-34b3-a8ee-6e4660847685"]}],"mendeley":{"formattedCitation":"(“Angiotensin-converting enzyme (ACE) inhibitors - Mayo Clinic,” n.d.)","plainTextFormattedCitation":"(“Angiotensin-converting enzyme (ACE) inhibitors - Mayo Clinic,” n.d.)","previouslyFormattedCitation":"(“Angiotensin-converting enzyme (ACE) inhibitors - Mayo Clinic,” n.d.)"},"properties":{"noteIndex":0},"schema":"https://github.com/citation-style-language/schema/raw/master/csl-citation.json"}</w:instrText>
      </w:r>
      <w:r w:rsidR="005E53FF">
        <w:rPr>
          <w:rFonts w:ascii="Arial" w:hAnsi="Arial" w:cs="Arial"/>
          <w:bCs/>
        </w:rPr>
        <w:fldChar w:fldCharType="separate"/>
      </w:r>
      <w:r w:rsidR="005E53FF" w:rsidRPr="005E53FF">
        <w:rPr>
          <w:rFonts w:ascii="Arial" w:hAnsi="Arial" w:cs="Arial"/>
          <w:bCs/>
          <w:noProof/>
        </w:rPr>
        <w:t>(“Angiotensin-converting enzyme (ACE) inhibitors - Mayo Clinic,” n.d.)</w:t>
      </w:r>
      <w:r w:rsidR="005E53FF">
        <w:rPr>
          <w:rFonts w:ascii="Arial" w:hAnsi="Arial" w:cs="Arial"/>
          <w:bCs/>
        </w:rPr>
        <w:fldChar w:fldCharType="end"/>
      </w:r>
      <w:r w:rsidR="005E53FF">
        <w:rPr>
          <w:rFonts w:ascii="Arial" w:hAnsi="Arial" w:cs="Arial"/>
          <w:bCs/>
        </w:rPr>
        <w:t xml:space="preserve">. </w:t>
      </w:r>
      <w:r w:rsidR="005E53FF">
        <w:rPr>
          <w:rFonts w:ascii="Arial" w:hAnsi="Arial" w:cs="Arial"/>
          <w:bCs/>
        </w:rPr>
        <w:t xml:space="preserve">Examples of ACE inhibitors include Accupril (Quinapril), </w:t>
      </w:r>
      <w:proofErr w:type="spellStart"/>
      <w:r w:rsidR="005E53FF">
        <w:rPr>
          <w:rFonts w:ascii="Arial" w:hAnsi="Arial" w:cs="Arial"/>
          <w:bCs/>
        </w:rPr>
        <w:t>Aceon</w:t>
      </w:r>
      <w:proofErr w:type="spellEnd"/>
      <w:r w:rsidR="005E53FF">
        <w:rPr>
          <w:rFonts w:ascii="Arial" w:hAnsi="Arial" w:cs="Arial"/>
          <w:bCs/>
        </w:rPr>
        <w:t xml:space="preserve"> (Perindopril), </w:t>
      </w:r>
      <w:proofErr w:type="spellStart"/>
      <w:r w:rsidR="005E53FF">
        <w:rPr>
          <w:rFonts w:ascii="Arial" w:hAnsi="Arial" w:cs="Arial"/>
          <w:bCs/>
        </w:rPr>
        <w:t>Altace</w:t>
      </w:r>
      <w:proofErr w:type="spellEnd"/>
      <w:r w:rsidR="005E53FF">
        <w:rPr>
          <w:rFonts w:ascii="Arial" w:hAnsi="Arial" w:cs="Arial"/>
          <w:bCs/>
        </w:rPr>
        <w:t xml:space="preserve"> (Ramipril), Benazepril (Lotensin), </w:t>
      </w:r>
      <w:proofErr w:type="spellStart"/>
      <w:r w:rsidR="005E53FF">
        <w:rPr>
          <w:rFonts w:ascii="Arial" w:hAnsi="Arial" w:cs="Arial"/>
          <w:bCs/>
        </w:rPr>
        <w:t>Capoten</w:t>
      </w:r>
      <w:proofErr w:type="spellEnd"/>
      <w:r w:rsidR="005E53FF">
        <w:rPr>
          <w:rFonts w:ascii="Arial" w:hAnsi="Arial" w:cs="Arial"/>
          <w:bCs/>
        </w:rPr>
        <w:t xml:space="preserve"> (Captopril), Enalapril (Vasotec), </w:t>
      </w:r>
      <w:proofErr w:type="spellStart"/>
      <w:r w:rsidR="005E53FF">
        <w:rPr>
          <w:rFonts w:ascii="Arial" w:hAnsi="Arial" w:cs="Arial"/>
          <w:bCs/>
        </w:rPr>
        <w:t>Fosinopril</w:t>
      </w:r>
      <w:proofErr w:type="spellEnd"/>
      <w:r w:rsidR="005E53FF">
        <w:rPr>
          <w:rFonts w:ascii="Arial" w:hAnsi="Arial" w:cs="Arial"/>
          <w:bCs/>
        </w:rPr>
        <w:t xml:space="preserve"> (</w:t>
      </w:r>
      <w:proofErr w:type="spellStart"/>
      <w:r w:rsidR="005E53FF">
        <w:rPr>
          <w:rFonts w:ascii="Arial" w:hAnsi="Arial" w:cs="Arial"/>
          <w:bCs/>
        </w:rPr>
        <w:t>Monopril</w:t>
      </w:r>
      <w:proofErr w:type="spellEnd"/>
      <w:r w:rsidR="005E53FF">
        <w:rPr>
          <w:rFonts w:ascii="Arial" w:hAnsi="Arial" w:cs="Arial"/>
          <w:bCs/>
        </w:rPr>
        <w:t xml:space="preserve">), Lisinopril (Prinivil, Zestril), </w:t>
      </w:r>
      <w:proofErr w:type="spellStart"/>
      <w:r w:rsidR="005E53FF">
        <w:rPr>
          <w:rFonts w:ascii="Arial" w:hAnsi="Arial" w:cs="Arial"/>
          <w:bCs/>
        </w:rPr>
        <w:t>Mavik</w:t>
      </w:r>
      <w:proofErr w:type="spellEnd"/>
      <w:r w:rsidR="005E53FF">
        <w:rPr>
          <w:rFonts w:ascii="Arial" w:hAnsi="Arial" w:cs="Arial"/>
          <w:bCs/>
        </w:rPr>
        <w:t xml:space="preserve"> (Trandolapril) and </w:t>
      </w:r>
      <w:proofErr w:type="spellStart"/>
      <w:r w:rsidR="005E53FF">
        <w:rPr>
          <w:rFonts w:ascii="Arial" w:hAnsi="Arial" w:cs="Arial"/>
          <w:bCs/>
        </w:rPr>
        <w:t>Moexipril</w:t>
      </w:r>
      <w:proofErr w:type="spellEnd"/>
      <w:r w:rsidR="005E53FF">
        <w:rPr>
          <w:rFonts w:ascii="Arial" w:hAnsi="Arial" w:cs="Arial"/>
          <w:bCs/>
        </w:rPr>
        <w:t xml:space="preserve"> (</w:t>
      </w:r>
      <w:proofErr w:type="spellStart"/>
      <w:r w:rsidR="005E53FF">
        <w:rPr>
          <w:rFonts w:ascii="Arial" w:hAnsi="Arial" w:cs="Arial"/>
          <w:bCs/>
        </w:rPr>
        <w:t>Univasc</w:t>
      </w:r>
      <w:proofErr w:type="spellEnd"/>
      <w:r w:rsidR="005E53FF">
        <w:rPr>
          <w:rFonts w:ascii="Arial" w:hAnsi="Arial" w:cs="Arial"/>
          <w:bCs/>
        </w:rPr>
        <w:t>)</w:t>
      </w:r>
      <w:r w:rsidR="005E53FF">
        <w:rPr>
          <w:rFonts w:ascii="Arial" w:hAnsi="Arial" w:cs="Arial"/>
          <w:bCs/>
        </w:rPr>
        <w:t xml:space="preserve"> </w:t>
      </w:r>
      <w:r w:rsidR="005E53FF">
        <w:rPr>
          <w:rFonts w:ascii="Arial" w:hAnsi="Arial" w:cs="Arial"/>
          <w:bCs/>
        </w:rPr>
        <w:fldChar w:fldCharType="begin" w:fldLock="1"/>
      </w:r>
      <w:r w:rsidR="0081074E">
        <w:rPr>
          <w:rFonts w:ascii="Arial" w:hAnsi="Arial" w:cs="Arial"/>
          <w:bCs/>
        </w:rPr>
        <w:instrText>ADDIN CSL_CITATION {"citationItems":[{"id":"ITEM-1","itemData":{"URL":"https://www.webmd.com/heart-disease/guide/medicine-ace-inhibitors#1","accessed":{"date-parts":[["2020","2","2"]]},"id":"ITEM-1","issued":{"date-parts":[["0"]]},"title":"Types of ACE Inhibitors for Heart Disease Treatment","type":"webpage"},"uris":["http://www.mendeley.com/documents/?uuid=c18bcaac-e36a-3c82-b7a1-d08af8d45019"]}],"mendeley":{"formattedCitation":"(“Types of ACE Inhibitors for Heart Disease Treatment,” n.d.)","plainTextFormattedCitation":"(“Types of ACE Inhibitors for Heart Disease Treatment,” n.d.)","previouslyFormattedCitation":"(“Types of ACE Inhibitors for Heart Disease Treatment,” n.d.)"},"properties":{"noteIndex":0},"schema":"https://github.com/citation-style-language/schema/raw/master/csl-citation.json"}</w:instrText>
      </w:r>
      <w:r w:rsidR="005E53FF">
        <w:rPr>
          <w:rFonts w:ascii="Arial" w:hAnsi="Arial" w:cs="Arial"/>
          <w:bCs/>
        </w:rPr>
        <w:fldChar w:fldCharType="separate"/>
      </w:r>
      <w:r w:rsidR="005E53FF" w:rsidRPr="005E53FF">
        <w:rPr>
          <w:rFonts w:ascii="Arial" w:hAnsi="Arial" w:cs="Arial"/>
          <w:bCs/>
          <w:noProof/>
        </w:rPr>
        <w:t>(“Types of ACE Inhibitors for Heart Disease Treatment,” n.d.)</w:t>
      </w:r>
      <w:r w:rsidR="005E53FF">
        <w:rPr>
          <w:rFonts w:ascii="Arial" w:hAnsi="Arial" w:cs="Arial"/>
          <w:bCs/>
        </w:rPr>
        <w:fldChar w:fldCharType="end"/>
      </w:r>
      <w:r w:rsidR="005E53FF">
        <w:rPr>
          <w:rFonts w:ascii="Arial" w:hAnsi="Arial" w:cs="Arial"/>
          <w:bCs/>
        </w:rPr>
        <w:t xml:space="preserve">. </w:t>
      </w:r>
      <w:r w:rsidR="00D13568">
        <w:rPr>
          <w:rFonts w:ascii="Arial" w:hAnsi="Arial" w:cs="Arial"/>
          <w:bCs/>
        </w:rPr>
        <w:t xml:space="preserve"> </w:t>
      </w:r>
    </w:p>
    <w:p w14:paraId="19896AEB" w14:textId="2738DF03" w:rsidR="001A717B" w:rsidRPr="001A717B" w:rsidRDefault="001A717B" w:rsidP="001A717B">
      <w:pPr>
        <w:spacing w:beforeLines="100" w:before="240" w:after="20"/>
        <w:rPr>
          <w:rFonts w:ascii="Arial" w:hAnsi="Arial" w:cs="Arial"/>
          <w:bCs/>
          <w:i/>
          <w:iCs/>
        </w:rPr>
      </w:pPr>
      <w:r w:rsidRPr="00282A06">
        <w:rPr>
          <w:rFonts w:ascii="Arial" w:hAnsi="Arial" w:cs="Arial"/>
          <w:bCs/>
          <w:i/>
          <w:iCs/>
        </w:rPr>
        <w:t>When are they prescribed?</w:t>
      </w:r>
    </w:p>
    <w:p w14:paraId="4C7C8E01" w14:textId="291C1640" w:rsidR="001A717B" w:rsidRDefault="001A717B" w:rsidP="006C7A64">
      <w:pPr>
        <w:spacing w:beforeLines="100" w:before="240" w:after="20"/>
        <w:rPr>
          <w:rFonts w:ascii="Arial" w:hAnsi="Arial" w:cs="Arial"/>
          <w:bCs/>
        </w:rPr>
      </w:pPr>
      <w:r>
        <w:rPr>
          <w:rFonts w:ascii="Arial" w:hAnsi="Arial" w:cs="Arial"/>
          <w:bCs/>
        </w:rPr>
        <w:t>ACE inhibitors are considered as “first-line therapy” for stage 1 hypertension (systolic pressure from 130-139mm Hg or diastolic pressure from 80-89mm Hg)</w:t>
      </w:r>
      <w:r>
        <w:rPr>
          <w:rFonts w:ascii="Arial" w:hAnsi="Arial" w:cs="Arial"/>
          <w:bCs/>
        </w:rPr>
        <w:t xml:space="preserve"> </w:t>
      </w:r>
      <w:r>
        <w:rPr>
          <w:rFonts w:ascii="Arial" w:hAnsi="Arial" w:cs="Arial"/>
          <w:bCs/>
        </w:rPr>
        <w:fldChar w:fldCharType="begin" w:fldLock="1"/>
      </w:r>
      <w:r>
        <w:rPr>
          <w:rFonts w:ascii="Arial" w:hAnsi="Arial" w:cs="Arial"/>
          <w:bCs/>
        </w:rPr>
        <w:instrText>ADDIN CSL_CITATION {"citationItems":[{"id":"ITEM-1","itemData":{"URL":"https://www.mayoclinic.org/diseases-conditions/high-blood-pressure/diagnosis-treatment/drc-20373417","accessed":{"date-parts":[["2020","2","2"]]},"id":"ITEM-1","issued":{"date-parts":[["0"]]},"title":"High blood pressure (hypertension) - Diagnosis and treatment - Mayo Clinic","type":"webpage"},"uris":["http://www.mendeley.com/documents/?uuid=619a07d0-1807-3b00-83b3-82d8d0ff1d77"]}],"mendeley":{"formattedCitation":"(“High blood pressure (hypertension) - Diagnosis and treatment - Mayo Clinic,” n.d.)","plainTextFormattedCitation":"(“High blood pressure (hypertension) - Diagnosis and treatment - Mayo Clinic,” n.d.)","previouslyFormattedCitation":"(“High blood pressure (hypertension) - Diagnosis and treatment - Mayo Clinic,” n.d.)"},"properties":{"noteIndex":0},"schema":"https://github.com/citation-style-language/schema/raw/master/csl-citation.json"}</w:instrText>
      </w:r>
      <w:r>
        <w:rPr>
          <w:rFonts w:ascii="Arial" w:hAnsi="Arial" w:cs="Arial"/>
          <w:bCs/>
        </w:rPr>
        <w:fldChar w:fldCharType="separate"/>
      </w:r>
      <w:r w:rsidRPr="001A717B">
        <w:rPr>
          <w:rFonts w:ascii="Arial" w:hAnsi="Arial" w:cs="Arial"/>
          <w:bCs/>
          <w:noProof/>
        </w:rPr>
        <w:t>(“High blood pressure (hypertension) - Diagnosis and treatment - Mayo Clinic,” n.d.)</w:t>
      </w:r>
      <w:r>
        <w:rPr>
          <w:rFonts w:ascii="Arial" w:hAnsi="Arial" w:cs="Arial"/>
          <w:bCs/>
        </w:rPr>
        <w:fldChar w:fldCharType="end"/>
      </w:r>
      <w:r>
        <w:rPr>
          <w:rFonts w:ascii="Arial" w:hAnsi="Arial" w:cs="Arial"/>
          <w:bCs/>
        </w:rPr>
        <w:t xml:space="preserve">. </w:t>
      </w:r>
      <w:r>
        <w:rPr>
          <w:rFonts w:ascii="Arial" w:hAnsi="Arial" w:cs="Arial"/>
          <w:bCs/>
        </w:rPr>
        <w:t>They are also used in the treatment of renal artery stenosis (RAS) which causes the release of renin and leads to renin-dependent hypertension. These inhibitors reduce arterial and venous pressures by dilating arterial and venous vessels via preventing the formation of angiotensin II</w:t>
      </w:r>
      <w:r>
        <w:rPr>
          <w:rFonts w:ascii="Arial" w:hAnsi="Arial" w:cs="Arial"/>
          <w:bCs/>
        </w:rPr>
        <w:t xml:space="preserve"> </w:t>
      </w:r>
      <w:r>
        <w:rPr>
          <w:rFonts w:ascii="Arial" w:hAnsi="Arial" w:cs="Arial"/>
          <w:bCs/>
        </w:rPr>
        <w:fldChar w:fldCharType="begin" w:fldLock="1"/>
      </w:r>
      <w:r>
        <w:rPr>
          <w:rFonts w:ascii="Arial" w:hAnsi="Arial" w:cs="Arial"/>
          <w:bCs/>
        </w:rPr>
        <w:instrText>ADDIN CSL_CITATION {"citationItems":[{"id":"ITEM-1","itemData":{"DOI":"10.1097/01.NURSE.0000524762.35753.23","ISSN":"15388689","author":[{"dropping-particle":"","family":"Dalal","given":"Kavitha S.","non-dropping-particle":"","parse-names":false,"suffix":""},{"dropping-particle":"","family":"Bridgeman","given":"Mary Barna","non-dropping-particle":"","parse-names":false,"suffix":""}],"container-title":"Nursing","id":"ITEM-1","issue":"11","issued":{"date-parts":[["2017"]]},"page":"63","title":"Cardiovascular drugs","type":"article-journal","volume":"47"},"uris":["http://www.mendeley.com/documents/?uuid=576700e7-5bbf-4213-b5b4-1ea4ea334911"]}],"mendeley":{"formattedCitation":"(Dalal &amp; Bridgeman, 2017)","plainTextFormattedCitation":"(Dalal &amp; Bridgeman, 2017)","previouslyFormattedCitation":"(Dalal &amp; Bridgeman, 2017)"},"properties":{"noteIndex":0},"schema":"https://github.com/citation-style-language/schema/raw/master/csl-citation.json"}</w:instrText>
      </w:r>
      <w:r>
        <w:rPr>
          <w:rFonts w:ascii="Arial" w:hAnsi="Arial" w:cs="Arial"/>
          <w:bCs/>
        </w:rPr>
        <w:fldChar w:fldCharType="separate"/>
      </w:r>
      <w:r w:rsidRPr="001A717B">
        <w:rPr>
          <w:rFonts w:ascii="Arial" w:hAnsi="Arial" w:cs="Arial"/>
          <w:bCs/>
          <w:noProof/>
        </w:rPr>
        <w:t>(Dalal &amp; Bridgeman, 2017)</w:t>
      </w:r>
      <w:r>
        <w:rPr>
          <w:rFonts w:ascii="Arial" w:hAnsi="Arial" w:cs="Arial"/>
          <w:bCs/>
        </w:rPr>
        <w:fldChar w:fldCharType="end"/>
      </w:r>
      <w:r>
        <w:rPr>
          <w:rFonts w:ascii="Arial" w:hAnsi="Arial" w:cs="Arial"/>
          <w:bCs/>
        </w:rPr>
        <w:t xml:space="preserve">. Moreover, </w:t>
      </w:r>
      <w:r>
        <w:rPr>
          <w:rFonts w:ascii="Arial" w:hAnsi="Arial" w:cs="Arial"/>
          <w:bCs/>
        </w:rPr>
        <w:t>ACE inhibitors demonstrated tissue protection of organs while achieving same control of blood pressure and are reported to improve kidney and heart function, as well as eye and peripheral nerve function, in patients with diabetes</w:t>
      </w:r>
      <w:r>
        <w:rPr>
          <w:rFonts w:ascii="Arial" w:hAnsi="Arial" w:cs="Arial"/>
          <w:bCs/>
        </w:rPr>
        <w:t xml:space="preserve"> </w:t>
      </w:r>
      <w:r>
        <w:rPr>
          <w:rFonts w:ascii="Arial" w:hAnsi="Arial" w:cs="Arial"/>
          <w:bCs/>
        </w:rPr>
        <w:fldChar w:fldCharType="begin" w:fldLock="1"/>
      </w:r>
      <w:r>
        <w:rPr>
          <w:rFonts w:ascii="Arial" w:hAnsi="Arial" w:cs="Arial"/>
          <w:bCs/>
        </w:rPr>
        <w:instrText>ADDIN CSL_CITATION {"citationItems":[{"id":"ITEM-1","itemData":{"DOI":"10.2165/00003495-200161130-00001","ISSN":"00126667","abstract":"The adjective 'epidemic' is now attributed to the rapidly growing number of patients with diabetes mellitus, mainly type 2, and the specific complications linked to this disorder. Provided they are recognised early enough, these different complications can be treated; in some patients the evolutive course of these complications can be slowed or even stopped. Furthermore, some recent observations suggest that specific tissular lesions may be prevented or even reversed. Although glycaemic control is essential, other therapeutic measures that must also be taken include those to control blood pressure and to lower lipid levels. Of the agents available to control the complications of diabetes mellitus, cardiovascular drugs, and particularly ACE inhibitors, have a pre-eminent place. Experimental and epidemiological data suggest that activation of the renin-angiotensinaldosterone system plays an important role in increasing in the micro- and macrovascular complications in patients with diabetes mellitus. Not only are ACE inhibitors potent antihypertensive agents but there is a growing body of data indicating that also they have a specific 'organ-protective' effect. For the same degree of blood pressure control, compared with other antihypertensive agents, ACE inhibitors demonstrate function and tissue protection of considered organs. ACE inhibitors have been reported to improve kidney, heart, and to a lesser extent, eye and peripheral nerve function of patients with diabetes mellitus. These favourable effects are the result of inhibition of both haemodynamic and tissular effects of angiotensin II. Finally, there are a growing number of arguments favouring the use of ACE inhibitors very early in patients with diabetes mellitus.","author":[{"dropping-particle":"","family":"Cordonnier","given":"Daniel J.","non-dropping-particle":"","parse-names":false,"suffix":""},{"dropping-particle":"","family":"Zaoui","given":"Philippe","non-dropping-particle":"","parse-names":false,"suffix":""},{"dropping-particle":"","family":"Halimi","given":"Serge","non-dropping-particle":"","parse-names":false,"suffix":""}],"container-title":"Drugs","id":"ITEM-1","issue":"13","issued":{"date-parts":[["2001"]]},"page":"1883-1892","title":"Role of ACE Inhibitors in Patients with Diabetes Mellitus","type":"article-journal","volume":"61"},"uris":["http://www.mendeley.com/documents/?uuid=b0e68684-193b-40db-ab2c-1f2cf617c070"]}],"mendeley":{"formattedCitation":"(Cordonnier, Zaoui, &amp; Halimi, 2001)","plainTextFormattedCitation":"(Cordonnier, Zaoui, &amp; Halimi, 2001)","previouslyFormattedCitation":"(Cordonnier, Zaoui, &amp; Halimi, 2001)"},"properties":{"noteIndex":0},"schema":"https://github.com/citation-style-language/schema/raw/master/csl-citation.json"}</w:instrText>
      </w:r>
      <w:r>
        <w:rPr>
          <w:rFonts w:ascii="Arial" w:hAnsi="Arial" w:cs="Arial"/>
          <w:bCs/>
        </w:rPr>
        <w:fldChar w:fldCharType="separate"/>
      </w:r>
      <w:r w:rsidRPr="001A717B">
        <w:rPr>
          <w:rFonts w:ascii="Arial" w:hAnsi="Arial" w:cs="Arial"/>
          <w:bCs/>
          <w:noProof/>
        </w:rPr>
        <w:t>(Cordonnier, Zaoui, &amp; Halimi, 2001)</w:t>
      </w:r>
      <w:r>
        <w:rPr>
          <w:rFonts w:ascii="Arial" w:hAnsi="Arial" w:cs="Arial"/>
          <w:bCs/>
        </w:rPr>
        <w:fldChar w:fldCharType="end"/>
      </w:r>
      <w:r>
        <w:rPr>
          <w:rFonts w:ascii="Arial" w:hAnsi="Arial" w:cs="Arial"/>
          <w:bCs/>
        </w:rPr>
        <w:t xml:space="preserve">. </w:t>
      </w:r>
      <w:r>
        <w:rPr>
          <w:rFonts w:ascii="Arial" w:hAnsi="Arial" w:cs="Arial"/>
          <w:bCs/>
        </w:rPr>
        <w:t>These effects are the result of the inhibition mechanism of ACE inhibitors on angiotensin II.</w:t>
      </w:r>
      <w:r>
        <w:rPr>
          <w:rFonts w:ascii="Arial" w:hAnsi="Arial" w:cs="Arial"/>
          <w:bCs/>
        </w:rPr>
        <w:t xml:space="preserve"> They are also </w:t>
      </w:r>
      <w:r>
        <w:rPr>
          <w:rFonts w:ascii="Arial" w:hAnsi="Arial" w:cs="Arial"/>
          <w:bCs/>
        </w:rPr>
        <w:t>commonly used in the treatment for heart conditions such as heart failure, heart attack and stroke due to its effectiveness in reducing circulating level of angiotensin II and aldosterone</w:t>
      </w:r>
      <w:r>
        <w:rPr>
          <w:rFonts w:ascii="Arial" w:hAnsi="Arial" w:cs="Arial"/>
          <w:bCs/>
        </w:rPr>
        <w:t xml:space="preserve"> </w:t>
      </w:r>
      <w:r>
        <w:rPr>
          <w:rFonts w:ascii="Arial" w:hAnsi="Arial" w:cs="Arial"/>
          <w:bCs/>
        </w:rPr>
        <w:fldChar w:fldCharType="begin" w:fldLock="1"/>
      </w:r>
      <w:r w:rsidR="006E0B64">
        <w:rPr>
          <w:rFonts w:ascii="Arial" w:hAnsi="Arial" w:cs="Arial"/>
          <w:bCs/>
        </w:rPr>
        <w:instrText>ADDIN CSL_CITATION {"citationItems":[{"id":"ITEM-1","itemData":{"ISSN":"00943509","author":[{"dropping-particle":"","family":"Kantner","given":"T. R.","non-dropping-particle":"","parse-names":false,"suffix":""}],"container-title":"Journal of Family Practice","id":"ITEM-1","issue":"3","issued":{"date-parts":[["1992"]]},"page":"305-314","title":"ACE inhibitors in congestive heart failure","type":"article-journal","volume":"35"},"uris":["http://www.mendeley.com/documents/?uuid=8ed29b5d-db6a-46e3-a3f8-94387da2ee6f"]}],"mendeley":{"formattedCitation":"(Kantner, 1992)","plainTextFormattedCitation":"(Kantner, 1992)","previouslyFormattedCitation":"(Kantner, 1992)"},"properties":{"noteIndex":0},"schema":"https://github.com/citation-style-language/schema/raw/master/csl-citation.json"}</w:instrText>
      </w:r>
      <w:r>
        <w:rPr>
          <w:rFonts w:ascii="Arial" w:hAnsi="Arial" w:cs="Arial"/>
          <w:bCs/>
        </w:rPr>
        <w:fldChar w:fldCharType="separate"/>
      </w:r>
      <w:r w:rsidRPr="001A717B">
        <w:rPr>
          <w:rFonts w:ascii="Arial" w:hAnsi="Arial" w:cs="Arial"/>
          <w:bCs/>
          <w:noProof/>
        </w:rPr>
        <w:t>(Kantner, 1992)</w:t>
      </w:r>
      <w:r>
        <w:rPr>
          <w:rFonts w:ascii="Arial" w:hAnsi="Arial" w:cs="Arial"/>
          <w:bCs/>
        </w:rPr>
        <w:fldChar w:fldCharType="end"/>
      </w:r>
      <w:r>
        <w:rPr>
          <w:rFonts w:ascii="Arial" w:hAnsi="Arial" w:cs="Arial"/>
          <w:bCs/>
        </w:rPr>
        <w:t xml:space="preserve">. </w:t>
      </w:r>
    </w:p>
    <w:p w14:paraId="4CA60CA9" w14:textId="54E141BA" w:rsidR="00DE4C3C" w:rsidRDefault="00DE4C3C" w:rsidP="00DE4C3C">
      <w:pPr>
        <w:spacing w:beforeLines="100" w:before="240" w:after="20"/>
        <w:rPr>
          <w:rFonts w:ascii="Arial" w:hAnsi="Arial" w:cs="Arial"/>
          <w:bCs/>
          <w:i/>
          <w:iCs/>
        </w:rPr>
      </w:pPr>
      <w:r>
        <w:rPr>
          <w:rFonts w:ascii="Arial" w:hAnsi="Arial" w:cs="Arial"/>
          <w:bCs/>
          <w:i/>
          <w:iCs/>
        </w:rPr>
        <w:t xml:space="preserve">Side </w:t>
      </w:r>
      <w:r w:rsidR="00F468CE">
        <w:rPr>
          <w:rFonts w:ascii="Arial" w:hAnsi="Arial" w:cs="Arial"/>
          <w:bCs/>
          <w:i/>
          <w:iCs/>
        </w:rPr>
        <w:t>E</w:t>
      </w:r>
      <w:r>
        <w:rPr>
          <w:rFonts w:ascii="Arial" w:hAnsi="Arial" w:cs="Arial"/>
          <w:bCs/>
          <w:i/>
          <w:iCs/>
        </w:rPr>
        <w:t>ffects and</w:t>
      </w:r>
      <w:r w:rsidRPr="00282A06">
        <w:rPr>
          <w:rFonts w:ascii="Arial" w:hAnsi="Arial" w:cs="Arial"/>
          <w:bCs/>
          <w:i/>
          <w:iCs/>
        </w:rPr>
        <w:t xml:space="preserve"> </w:t>
      </w:r>
      <w:r w:rsidR="00F468CE">
        <w:rPr>
          <w:rFonts w:ascii="Arial" w:hAnsi="Arial" w:cs="Arial"/>
          <w:bCs/>
          <w:i/>
          <w:iCs/>
        </w:rPr>
        <w:t>C</w:t>
      </w:r>
      <w:r w:rsidRPr="00282A06">
        <w:rPr>
          <w:rFonts w:ascii="Arial" w:hAnsi="Arial" w:cs="Arial"/>
          <w:bCs/>
          <w:i/>
          <w:iCs/>
        </w:rPr>
        <w:t>ance</w:t>
      </w:r>
      <w:r>
        <w:rPr>
          <w:rFonts w:ascii="Arial" w:hAnsi="Arial" w:cs="Arial"/>
          <w:bCs/>
          <w:i/>
          <w:iCs/>
        </w:rPr>
        <w:t xml:space="preserve">r </w:t>
      </w:r>
      <w:r w:rsidR="00F468CE">
        <w:rPr>
          <w:rFonts w:ascii="Arial" w:hAnsi="Arial" w:cs="Arial"/>
          <w:bCs/>
          <w:i/>
          <w:iCs/>
        </w:rPr>
        <w:t>R</w:t>
      </w:r>
      <w:r>
        <w:rPr>
          <w:rFonts w:ascii="Arial" w:hAnsi="Arial" w:cs="Arial"/>
          <w:bCs/>
          <w:i/>
          <w:iCs/>
        </w:rPr>
        <w:t>isk</w:t>
      </w:r>
    </w:p>
    <w:p w14:paraId="6ED7174E" w14:textId="16AC66B2" w:rsidR="00DE4C3C" w:rsidRDefault="006E0B64" w:rsidP="006C7A64">
      <w:pPr>
        <w:spacing w:beforeLines="100" w:before="240" w:after="20"/>
        <w:rPr>
          <w:rFonts w:ascii="Arial" w:hAnsi="Arial" w:cs="Arial"/>
          <w:bCs/>
        </w:rPr>
      </w:pPr>
      <w:r w:rsidRPr="006E0B64">
        <w:rPr>
          <w:rFonts w:ascii="Arial" w:hAnsi="Arial" w:cs="Arial"/>
          <w:bCs/>
        </w:rPr>
        <w:t>Side effects of taking ACE inhibitors may include cough, fatigue, dizziness, headache, loss of taste and so forth. Some studies showed these inhibitors may cause the swell of tissue in black population, women and smokers</w:t>
      </w:r>
      <w:r>
        <w:rPr>
          <w:rFonts w:ascii="Arial" w:hAnsi="Arial" w:cs="Arial"/>
          <w:bCs/>
        </w:rPr>
        <w:t xml:space="preserve"> </w:t>
      </w:r>
      <w:r>
        <w:rPr>
          <w:rFonts w:ascii="Arial" w:hAnsi="Arial" w:cs="Arial"/>
          <w:bCs/>
        </w:rPr>
        <w:fldChar w:fldCharType="begin" w:fldLock="1"/>
      </w:r>
      <w:r>
        <w:rPr>
          <w:rFonts w:ascii="Arial" w:hAnsi="Arial" w:cs="Arial"/>
          <w:bCs/>
        </w:rPr>
        <w:instrText>ADDIN CSL_CITATION {"citationItems":[{"id":"ITEM-1","itemData":{"DOI":"10.1177/1060028018779082","ISBN":"1060028018","ISSN":"15426270","abstract":"Objective: To review current guidelines and recent data evaluating the efficacy and safety of angiotensin-converting enzyme (ACE) inhibitors and angiotensin receptor blockers (ARBs) in black hypertensive patients. Data Sources: Articles evaluating race-specific outcomes in hypertension were gathered using a MEDLINE search with keywords black, African American, ACE inhibitor, angiotensin receptor blocker, angiotensin system, and hypertension. Studies published from 2000 through April 2018 were reviewed. Study Selection and Data Extraction: Six guidelines, 8 monotherapy publications, and 5 combination therapy publications included race-specific results and were included in the review. The authors individually compared and contrasted the results from each publication. Data Synthesis: Numerous monotherapy trials indicate that black patients may have a reduced blood pressure (BP) response with ACE inhibitors or ARBs compared with white patients. Conversely, additional studies propose that race may not be the primary predictor of BP response. Reduced efficacy is not observed in trials involving combination therapy. Some studies suggest increased cardiovascular and cerebrovascular morbidity and mortality with ACE inhibitor or ARB monotherapy in black patients; however, data are conflicting. Relevance to Patient Care and Clinical Practice: This article clarifies vague guideline statements and informs clinicians on the appropriate use of ACE inhibitors or ARBs for hypertension treatment in black patients through an in-depth look into the evidence. Conclusions: Potentially reduced efficacy and limited outcomes data indicate that ACE inhibitors or ARBs should not routinely be initiated as monotherapy in black hypertensive patients. Use in combination with a calcium channel blocker or thiazide diuretic is efficacious in black patients, and there are no data showing that this increases or decreases cardiovascular or cerebrovascular outcomes.","author":[{"dropping-particle":"","family":"Helmer","given":"Allison","non-dropping-particle":"","parse-names":false,"suffix":""},{"dropping-particle":"","family":"Slater","given":"Nicole","non-dropping-particle":"","parse-names":false,"suffix":""},{"dropping-particle":"","family":"Smithgall","given":"Sean","non-dropping-particle":"","parse-names":false,"suffix":""}],"container-title":"Annals of Pharmacotherapy","id":"ITEM-1","issue":"11","issued":{"date-parts":[["2018"]]},"page":"1143-1151","title":"A Review of ACE Inhibitors and ARBs in Black Patients With Hypertension","type":"article-journal","volume":"52"},"uris":["http://www.mendeley.com/documents/?uuid=9de57ee8-9f03-4d92-9426-bdac3db00642"]}],"mendeley":{"formattedCitation":"(Helmer, Slater, &amp; Smithgall, 2018)","plainTextFormattedCitation":"(Helmer, Slater, &amp; Smithgall, 2018)","previouslyFormattedCitation":"(Helmer, Slater, &amp; Smithgall, 2018)"},"properties":{"noteIndex":0},"schema":"https://github.com/citation-style-language/schema/raw/master/csl-citation.json"}</w:instrText>
      </w:r>
      <w:r>
        <w:rPr>
          <w:rFonts w:ascii="Arial" w:hAnsi="Arial" w:cs="Arial"/>
          <w:bCs/>
        </w:rPr>
        <w:fldChar w:fldCharType="separate"/>
      </w:r>
      <w:r w:rsidRPr="006E0B64">
        <w:rPr>
          <w:rFonts w:ascii="Arial" w:hAnsi="Arial" w:cs="Arial"/>
          <w:bCs/>
          <w:noProof/>
        </w:rPr>
        <w:t>(Helmer, Slater, &amp; Smithgall, 2018)</w:t>
      </w:r>
      <w:r>
        <w:rPr>
          <w:rFonts w:ascii="Arial" w:hAnsi="Arial" w:cs="Arial"/>
          <w:bCs/>
        </w:rPr>
        <w:fldChar w:fldCharType="end"/>
      </w:r>
      <w:r>
        <w:rPr>
          <w:rFonts w:ascii="Arial" w:hAnsi="Arial" w:cs="Arial"/>
          <w:bCs/>
        </w:rPr>
        <w:fldChar w:fldCharType="begin" w:fldLock="1"/>
      </w:r>
      <w:r>
        <w:rPr>
          <w:rFonts w:ascii="Arial" w:hAnsi="Arial" w:cs="Arial"/>
          <w:bCs/>
        </w:rPr>
        <w:instrText>ADDIN CSL_CITATION {"citationItems":[{"id":"ITEM-1","itemData":{"DOI":"10.1111/j.1365-2710.2008.00938.x","ISSN":"02694727","abstract":"Background and objective: Treatment with angiotensin converting enzyme (ACE) inhibitors or angiotensin receptor blockers (ARBs) during pregnancy can cause severe foetal abnormalities. This study aimed to identify the proportion of women of childbearing age taking ACE inhibitors or ARBs on referral to a tertiary Hypertension Clinic. Design: Retrospective cohort study. Methods: A cohort of female patients aged 16-45 years was identified from approximately 1500 new referrals from January 2004 to October 2006, excluding those not taking antihypertensive medication. ACE inhibitors and ARBs were grouped together for the purposes of the study. Contraceptive status was established where possible. Results: Forty seven of 101 (47%) women aged 16-45 years were taking an ACE inhibitor (35) an ARB (11) or both (1) of whom 26 (55%) were aged 16-40 years. In this younger group, eight were using no contraception and three were using barrier methods only. Conclusions: Many GPs continue to prescribe ACE inhibitors and ARBs to women of childbearing age. A quarter of women in the study were taking these agents and were 40 years or less; of these many were not using reliable contraception. These women are at risk of foetal malformation and poor perinatal outcomes if they become pregnant. The British Hypertension Guidelines may put younger women at risk if general practitioners are unaware of potential foetotoxic and teratogenic consequences of prescribing ACE inhibitors and ARBs to women of child bearing age. © 2008 The Authors.","author":[{"dropping-particle":"","family":"Martin","given":"U.","non-dropping-particle":"","parse-names":false,"suffix":""},{"dropping-particle":"","family":"Foreman","given":"M. A.","non-dropping-particle":"","parse-names":false,"suffix":""},{"dropping-particle":"","family":"Travis","given":"J. C.","non-dropping-particle":"","parse-names":false,"suffix":""},{"dropping-particle":"","family":"Casson","given":"D.","non-dropping-particle":"","parse-names":false,"suffix":""},{"dropping-particle":"","family":"Coleman","given":"J. J.","non-dropping-particle":"","parse-names":false,"suffix":""}],"container-title":"Journal of Clinical Pharmacy and Therapeutics","id":"ITEM-1","issue":"5","issued":{"date-parts":[["2008"]]},"page":"507-511","title":"Use of ACE inhibitors and ARBs in hypertensive women of childbearing age","type":"article-journal","volume":"33"},"uris":["http://www.mendeley.com/documents/?uuid=654c61cc-60f2-4bf9-ba86-5106bfb7d4e1"]}],"mendeley":{"formattedCitation":"(Martin, Foreman, Travis, Casson, &amp; Coleman, 2008)","plainTextFormattedCitation":"(Martin, Foreman, Travis, Casson, &amp; Coleman, 2008)","previouslyFormattedCitation":"(Martin, Foreman, Travis, Casson, &amp; Coleman, 2008)"},"properties":{"noteIndex":0},"schema":"https://github.com/citation-style-language/schema/raw/master/csl-citation.json"}</w:instrText>
      </w:r>
      <w:r>
        <w:rPr>
          <w:rFonts w:ascii="Arial" w:hAnsi="Arial" w:cs="Arial"/>
          <w:bCs/>
        </w:rPr>
        <w:fldChar w:fldCharType="separate"/>
      </w:r>
      <w:r w:rsidRPr="006E0B64">
        <w:rPr>
          <w:rFonts w:ascii="Arial" w:hAnsi="Arial" w:cs="Arial"/>
          <w:bCs/>
          <w:noProof/>
        </w:rPr>
        <w:t>(Martin, Foreman, Travis, Casson, &amp; Coleman, 2008)</w:t>
      </w:r>
      <w:r>
        <w:rPr>
          <w:rFonts w:ascii="Arial" w:hAnsi="Arial" w:cs="Arial"/>
          <w:bCs/>
        </w:rPr>
        <w:fldChar w:fldCharType="end"/>
      </w:r>
      <w:r>
        <w:rPr>
          <w:rFonts w:ascii="Arial" w:hAnsi="Arial" w:cs="Arial"/>
          <w:bCs/>
        </w:rPr>
        <w:fldChar w:fldCharType="begin" w:fldLock="1"/>
      </w:r>
      <w:r w:rsidR="006441A6">
        <w:rPr>
          <w:rFonts w:ascii="Arial" w:hAnsi="Arial" w:cs="Arial"/>
          <w:bCs/>
        </w:rPr>
        <w:instrText>ADDIN CSL_CITATION {"citationItems":[{"id":"ITEM-1","itemData":{"URL":"https://www.empr.com/home/news/smoking-may-negate-renal-protective-effects-of-ace-inhibitors/","accessed":{"date-parts":[["2020","2","2"]]},"id":"ITEM-1","issued":{"date-parts":[["0"]]},"title":"Smoking May Negate Renal Protective Effects of ACE Inhibitors - MPR","type":"webpage"},"uris":["http://www.mendeley.com/documents/?uuid=7b173be9-4d82-3a82-9375-74ac95e30f8f"]}],"mendeley":{"formattedCitation":"(“Smoking May Negate Renal Protective Effects of ACE Inhibitors - MPR,” n.d.)","plainTextFormattedCitation":"(“Smoking May Negate Renal Protective Effects of ACE Inhibitors - MPR,” n.d.)","previouslyFormattedCitation":"(“Smoking May Negate Renal Protective Effects of ACE Inhibitors - MPR,” n.d.)"},"properties":{"noteIndex":0},"schema":"https://github.com/citation-style-language/schema/raw/master/csl-citation.json"}</w:instrText>
      </w:r>
      <w:r>
        <w:rPr>
          <w:rFonts w:ascii="Arial" w:hAnsi="Arial" w:cs="Arial"/>
          <w:bCs/>
        </w:rPr>
        <w:fldChar w:fldCharType="separate"/>
      </w:r>
      <w:r w:rsidRPr="006E0B64">
        <w:rPr>
          <w:rFonts w:ascii="Arial" w:hAnsi="Arial" w:cs="Arial"/>
          <w:bCs/>
          <w:noProof/>
        </w:rPr>
        <w:t>(“Smoking May Negate Renal Protective Effects of ACE Inhibitors - MPR,” n.d.)</w:t>
      </w:r>
      <w:r>
        <w:rPr>
          <w:rFonts w:ascii="Arial" w:hAnsi="Arial" w:cs="Arial"/>
          <w:bCs/>
        </w:rPr>
        <w:fldChar w:fldCharType="end"/>
      </w:r>
      <w:r>
        <w:rPr>
          <w:rFonts w:ascii="Arial" w:hAnsi="Arial" w:cs="Arial"/>
          <w:bCs/>
        </w:rPr>
        <w:t xml:space="preserve">. </w:t>
      </w:r>
      <w:r w:rsidR="006441A6">
        <w:rPr>
          <w:rFonts w:ascii="Arial" w:hAnsi="Arial" w:cs="Arial"/>
          <w:bCs/>
        </w:rPr>
        <w:t>The concern about the relation between ACE inhibitors and lung cancer is because of the buildup of bradykinin and substance P in the lung. These two chemicals are often found in the tissue of lung cancer patients and bradykinin is said to stimulate the growth of cancer cells</w:t>
      </w:r>
      <w:r w:rsidR="006441A6">
        <w:rPr>
          <w:rFonts w:ascii="Arial" w:hAnsi="Arial" w:cs="Arial"/>
          <w:bCs/>
        </w:rPr>
        <w:t xml:space="preserve"> </w:t>
      </w:r>
      <w:r w:rsidR="006441A6">
        <w:rPr>
          <w:rFonts w:ascii="Arial" w:hAnsi="Arial" w:cs="Arial"/>
          <w:bCs/>
        </w:rPr>
        <w:fldChar w:fldCharType="begin" w:fldLock="1"/>
      </w:r>
      <w:r w:rsidR="006441A6">
        <w:rPr>
          <w:rFonts w:ascii="Arial" w:hAnsi="Arial" w:cs="Arial"/>
          <w:bCs/>
        </w:rPr>
        <w:instrText>ADDIN CSL_CITATION {"citationItems":[{"id":"ITEM-1","itemData":{"DOI":"10.1002/ijc.10142","ISSN":"00207136","abstract":"Bradykinin (BK) has multiple pathophysiologic functions such as induction of vascular permeability and mitogenesis, and it triggers the release of other mediators such as nitric oxide in inflammatory and cancer tissues. To explore the pathophysiologic roles of BK in tumor, we examined the distribution of BK B2 receptors in human adenocarcinoma (lung, stomach), lymphoma (lymph node), hepatoma, squamous cell carcinoma (lung) and carcinoid (duodenum), and in mouse colon adenocarcinoma 38 (C-38) and sarcoma 180 (S-180) tumor tissues. Immunohistochemical staining of tumor tissues with an anti-BK B2 receptor antibody, or autoradiography with the B2 receptor antagonist [125I]HOE 140 (D,Arg-[Hyp Thi D-Tic Oic8]-BK) and the B2 receptor agonist [3H]BK indicated the presence of B2 receptors in all human tumor cells and murine S-180 and C-38 cells. Specific binding of [3H]HOE 140 was observed in S-180 cells with a Kd of 2.1 nM. Binding of [125I]HOE 140 to S-180 cells was competed by an excess amount (20,100 times) of nonradiolabeled HOE 140 or BK, but not by BK B1 receptor agonist des-Arg9-BK. These results provide direct evidence that the BK B2 receptor is expressed in human cancer and experimental murine tumors, which suggests a potential role for BK in inducing pathologic signal transduction in cancer growth and progression, nitric oxide production and vascular permeability enhancement in tumors. BK antagonists may thus have applications in the modulation of cancer growth and in paraneoplastic syndromes. © 2002 WiIey-Liss, Inc.","author":[{"dropping-particle":"","family":"Wu","given":"Jun","non-dropping-particle":"","parse-names":false,"suffix":""},{"dropping-particle":"","family":"Akaike","given":"Takaaki","non-dropping-particle":"","parse-names":false,"suffix":""},{"dropping-particle":"","family":"Hayashida","given":"Kazuyuki","non-dropping-particle":"","parse-names":false,"suffix":""},{"dropping-particle":"","family":"Miyamoto","given":"Yoichi","non-dropping-particle":"","parse-names":false,"suffix":""},{"dropping-particle":"","family":"Nakagawa","given":"Takenobu","non-dropping-particle":"","parse-names":false,"suffix":""},{"dropping-particle":"","family":"Miyakawa","given":"Kazuhisa","non-dropping-particle":"","parse-names":false,"suffix":""},{"dropping-particle":"","family":"Müller-Esterl","given":"Werner","non-dropping-particle":"","parse-names":false,"suffix":""},{"dropping-particle":"","family":"Maeda","given":"Hiroshi","non-dropping-particle":"","parse-names":false,"suffix":""}],"container-title":"International Journal of Cancer","id":"ITEM-1","issue":"1","issued":{"date-parts":[["2002"]]},"page":"29-35","title":"Identification of bradykinin receptors in clinical cancer specimens and murine tumor tissues","type":"article-journal","volume":"98"},"uris":["http://www.mendeley.com/documents/?uuid=92faa7de-a9fb-4bd7-84bc-685624dd54ba"]}],"mendeley":{"formattedCitation":"(Wu et al., 2002)","plainTextFormattedCitation":"(Wu et al., 2002)","previouslyFormattedCitation":"(Wu et al., 2002)"},"properties":{"noteIndex":0},"schema":"https://github.com/citation-style-language/schema/raw/master/csl-citation.json"}</w:instrText>
      </w:r>
      <w:r w:rsidR="006441A6">
        <w:rPr>
          <w:rFonts w:ascii="Arial" w:hAnsi="Arial" w:cs="Arial"/>
          <w:bCs/>
        </w:rPr>
        <w:fldChar w:fldCharType="separate"/>
      </w:r>
      <w:r w:rsidR="006441A6" w:rsidRPr="006441A6">
        <w:rPr>
          <w:rFonts w:ascii="Arial" w:hAnsi="Arial" w:cs="Arial"/>
          <w:bCs/>
          <w:noProof/>
        </w:rPr>
        <w:t>(Wu et al., 2002)</w:t>
      </w:r>
      <w:r w:rsidR="006441A6">
        <w:rPr>
          <w:rFonts w:ascii="Arial" w:hAnsi="Arial" w:cs="Arial"/>
          <w:bCs/>
        </w:rPr>
        <w:fldChar w:fldCharType="end"/>
      </w:r>
      <w:r w:rsidR="006441A6">
        <w:rPr>
          <w:rFonts w:ascii="Arial" w:hAnsi="Arial" w:cs="Arial"/>
          <w:bCs/>
        </w:rPr>
        <w:t xml:space="preserve">. </w:t>
      </w:r>
      <w:r w:rsidR="006441A6">
        <w:rPr>
          <w:rFonts w:ascii="Arial" w:hAnsi="Arial" w:cs="Arial"/>
          <w:bCs/>
        </w:rPr>
        <w:t>Recently, there have been some population-based cohort studies on the risk of lung cancer in patients with ACE inhibitors. One example is Hicks and the team’s work. They confirmed the association of ACE inhibitors to higher lung cancer risk, compared to angiotensin receptor blockers</w:t>
      </w:r>
      <w:r w:rsidR="006441A6">
        <w:rPr>
          <w:rFonts w:ascii="Arial" w:hAnsi="Arial" w:cs="Arial"/>
          <w:bCs/>
        </w:rPr>
        <w:t xml:space="preserve"> </w:t>
      </w:r>
      <w:r w:rsidR="006441A6">
        <w:rPr>
          <w:rFonts w:ascii="Arial" w:hAnsi="Arial" w:cs="Arial"/>
          <w:bCs/>
        </w:rPr>
        <w:fldChar w:fldCharType="begin" w:fldLock="1"/>
      </w:r>
      <w:r w:rsidR="00DF0A43">
        <w:rPr>
          <w:rFonts w:ascii="Arial" w:hAnsi="Arial" w:cs="Arial"/>
          <w:bCs/>
        </w:rPr>
        <w:instrText>ADDIN CSL_CITATION {"citationItems":[{"id":"ITEM-1","itemData":{"DOI":"10.1136/bmj.k4209","ISSN":"17561833","abstract":"Objective To determine whether the use of angiotensin converting enzyme inhibitors (ACEIs), compared with use of angiotensin receptor blockers, is associated with an increased risk of lung cancer. Design Population based cohort study. Setting United Kingdom Clinical Practice Research Datalink. Participants A cohort of 992 061 patients newly treated with antihypertensive drugs between 1 January 1995 and 31 December 2015 was identified and followed until 31 December 2016. Main outcome measures Cox proportional hazards models were used to estimate adjusted hazard ratios with 95% confidence intervals of incident lung cancer associated with the time varying use of ACEIs, compared with use of angiotensin receptor blockers, overall, by cumulative duration of use, and by time since initiation. Results The cohort was followed for a mean of 6.4 (SD 4.7) years, generating 7952 incident lung cancer events (crude incidence 1.3 (95% confidence interval 1.2 to 1.3) per 1000 person years). Overall, use of ACEIs was associated with an increased risk of lung cancer (incidence rate 1.6 v 1.2 per 1000 person years; hazard ratio 1.14, 95% confidence interval 1.01 to 1.29), compared with use of angiotensin receptor blockers. Hazard ratios gradually increased with longer durations of use, with an association evident after five years of use (hazard ratio 1.22, 1.06 to 1.40) and peaking after more than 10 years of use (1.31, 1.08 to 1.59). Similar findings were observed with time since initiation. Conclusions In this population based cohort study, the use of ACEIs was associated with an increased risk of lung cancer. The association was particularly elevated among people using ACEIs for more than five years. Additional studies, with long term follow-up, are needed to investigate the effects of these drugs on incidence of lung cancer.","author":[{"dropping-particle":"","family":"Hicks","given":"Blánaid M.","non-dropping-particle":"","parse-names":false,"suffix":""},{"dropping-particle":"","family":"Filion","given":"Kristian B.","non-dropping-particle":"","parse-names":false,"suffix":""},{"dropping-particle":"","family":"Yin","given":"Hui","non-dropping-particle":"","parse-names":false,"suffix":""},{"dropping-particle":"","family":"Sakr","given":"Lama","non-dropping-particle":"","parse-names":false,"suffix":""},{"dropping-particle":"","family":"Udell","given":"Jacob A.","non-dropping-particle":"","parse-names":false,"suffix":""},{"dropping-particle":"","family":"Azoulay","given":"Laurent","non-dropping-particle":"","parse-names":false,"suffix":""}],"container-title":"BMJ (Online)","id":"ITEM-1","issued":{"date-parts":[["2018"]]},"page":"1-8","title":"Angiotensin converting enzyme inhibitors and risk of lung cancer: Population based cohort study","type":"article-journal","volume":"363"},"uris":["http://www.mendeley.com/documents/?uuid=8d46c4c8-f8e5-4c8c-b069-513032329f09"]}],"mendeley":{"formattedCitation":"(Hicks et al., 2018)","plainTextFormattedCitation":"(Hicks et al., 2018)","previouslyFormattedCitation":"(Hicks et al., 2018)"},"properties":{"noteIndex":0},"schema":"https://github.com/citation-style-language/schema/raw/master/csl-citation.json"}</w:instrText>
      </w:r>
      <w:r w:rsidR="006441A6">
        <w:rPr>
          <w:rFonts w:ascii="Arial" w:hAnsi="Arial" w:cs="Arial"/>
          <w:bCs/>
        </w:rPr>
        <w:fldChar w:fldCharType="separate"/>
      </w:r>
      <w:r w:rsidR="006441A6" w:rsidRPr="006441A6">
        <w:rPr>
          <w:rFonts w:ascii="Arial" w:hAnsi="Arial" w:cs="Arial"/>
          <w:bCs/>
          <w:noProof/>
        </w:rPr>
        <w:t>(Hicks et al., 2018)</w:t>
      </w:r>
      <w:r w:rsidR="006441A6">
        <w:rPr>
          <w:rFonts w:ascii="Arial" w:hAnsi="Arial" w:cs="Arial"/>
          <w:bCs/>
        </w:rPr>
        <w:fldChar w:fldCharType="end"/>
      </w:r>
      <w:r w:rsidR="006441A6">
        <w:rPr>
          <w:rFonts w:ascii="Arial" w:hAnsi="Arial" w:cs="Arial"/>
          <w:bCs/>
        </w:rPr>
        <w:t xml:space="preserve">. </w:t>
      </w:r>
      <w:r w:rsidR="00295856">
        <w:rPr>
          <w:rFonts w:ascii="Arial" w:hAnsi="Arial" w:cs="Arial"/>
          <w:bCs/>
        </w:rPr>
        <w:t xml:space="preserve">There are also studies focused on cancer risk (all kinds) associated with ACE inhibitors. </w:t>
      </w:r>
      <w:r w:rsidR="00DF0A43">
        <w:rPr>
          <w:rFonts w:ascii="Arial" w:hAnsi="Arial" w:cs="Arial"/>
          <w:bCs/>
        </w:rPr>
        <w:t xml:space="preserve">Yi-Ying Chiang and the team demonstrated the irrelevance between them </w:t>
      </w:r>
      <w:r w:rsidR="00DF0A43">
        <w:rPr>
          <w:rFonts w:ascii="Arial" w:hAnsi="Arial" w:cs="Arial"/>
          <w:bCs/>
        </w:rPr>
        <w:fldChar w:fldCharType="begin" w:fldLock="1"/>
      </w:r>
      <w:r w:rsidR="00537FD3">
        <w:rPr>
          <w:rFonts w:ascii="Arial" w:hAnsi="Arial" w:cs="Arial"/>
          <w:bCs/>
        </w:rPr>
        <w:instrText>ADDIN CSL_CITATION {"citationItems":[{"id":"ITEM-1","itemData":{"DOI":"10.1111/jch.12228","ISSN":"15246175","abstract":"There are conflicting reports on cancer risk associated with angiotensin-converting enzyme (ACE) inhibitors/angiotensin receptor blockers (ARBs). This retrospective cohort study was conducted to analyze the risk of cancer development in patients who received ACE inhibitors/ARBs as treatment for essential hypertension. Using the Taiwan National Health Insurance Research Database, 297,688 eligible study patients with essential hypertension were identified. According to their antihypertensive prescriptions, the study patients were stratified into an ACE inhibitor group, an ARB group, or a control group. After matching, participants were observed for the occurrence of cancer. In the ACE inhibitor group compared with the control group, the hazard ratio was 0.51 (95% confidence interval, 0.39-0.68). In the ARB group compared with the control group, the hazard ratio was 0.8 (95% confidence interval, 0.65-0.97). Regular use of ACE inhibitors/ARBs was not associated with an increased risk of cancer development and was actually found to decrease overall cancer risk in this study. ©2013 Wiley Periodicals, Inc.","author":[{"dropping-particle":"","family":"Chiang","given":"Yi Ying","non-dropping-particle":"","parse-names":false,"suffix":""},{"dropping-particle":"","family":"Chen","given":"Kuen Bao","non-dropping-particle":"","parse-names":false,"suffix":""},{"dropping-particle":"","family":"Tsai","given":"Tung Han","non-dropping-particle":"","parse-names":false,"suffix":""},{"dropping-particle":"","family":"Tsai","given":"Wen Chen","non-dropping-particle":"","parse-names":false,"suffix":""}],"container-title":"Journal of Clinical Hypertension","id":"ITEM-1","issue":"1","issued":{"date-parts":[["2014"]]},"page":"27-33","title":"Lowered Cancer Risk With ACE Inhibitors/ARBs: A Population-Based Cohort Study","type":"article-journal","volume":"16"},"uris":["http://www.mendeley.com/documents/?uuid=f1dd4886-558e-40d0-8a56-bd2ebe1219e6"]}],"mendeley":{"formattedCitation":"(Chiang, Chen, Tsai, &amp; Tsai, 2014)","plainTextFormattedCitation":"(Chiang, Chen, Tsai, &amp; Tsai, 2014)","previouslyFormattedCitation":"(Chiang, Chen, Tsai, &amp; Tsai, 2014)"},"properties":{"noteIndex":0},"schema":"https://github.com/citation-style-language/schema/raw/master/csl-citation.json"}</w:instrText>
      </w:r>
      <w:r w:rsidR="00DF0A43">
        <w:rPr>
          <w:rFonts w:ascii="Arial" w:hAnsi="Arial" w:cs="Arial"/>
          <w:bCs/>
        </w:rPr>
        <w:fldChar w:fldCharType="separate"/>
      </w:r>
      <w:r w:rsidR="00DF0A43" w:rsidRPr="00DF0A43">
        <w:rPr>
          <w:rFonts w:ascii="Arial" w:hAnsi="Arial" w:cs="Arial"/>
          <w:bCs/>
          <w:noProof/>
        </w:rPr>
        <w:t>(Chiang, Chen, Tsai, &amp; Tsai, 2014)</w:t>
      </w:r>
      <w:r w:rsidR="00DF0A43">
        <w:rPr>
          <w:rFonts w:ascii="Arial" w:hAnsi="Arial" w:cs="Arial"/>
          <w:bCs/>
        </w:rPr>
        <w:fldChar w:fldCharType="end"/>
      </w:r>
      <w:r w:rsidR="00DF0A43">
        <w:rPr>
          <w:rFonts w:ascii="Arial" w:hAnsi="Arial" w:cs="Arial"/>
          <w:bCs/>
        </w:rPr>
        <w:t xml:space="preserve">. </w:t>
      </w:r>
    </w:p>
    <w:p w14:paraId="02726F88" w14:textId="18BF3A0C" w:rsidR="00A56335" w:rsidRPr="00A56335" w:rsidRDefault="008B72DC" w:rsidP="00A56335">
      <w:pPr>
        <w:spacing w:beforeLines="100" w:before="240" w:after="20"/>
        <w:rPr>
          <w:rFonts w:ascii="Arial" w:hAnsi="Arial" w:cs="Arial"/>
          <w:bCs/>
          <w:i/>
          <w:iCs/>
        </w:rPr>
      </w:pPr>
      <w:r>
        <w:rPr>
          <w:rFonts w:ascii="Arial" w:hAnsi="Arial" w:cs="Arial"/>
          <w:bCs/>
          <w:i/>
          <w:iCs/>
        </w:rPr>
        <w:lastRenderedPageBreak/>
        <w:t xml:space="preserve">Reasons and </w:t>
      </w:r>
      <w:r w:rsidR="000D528E">
        <w:rPr>
          <w:rFonts w:ascii="Arial" w:hAnsi="Arial" w:cs="Arial"/>
          <w:bCs/>
          <w:i/>
          <w:iCs/>
        </w:rPr>
        <w:t>H</w:t>
      </w:r>
      <w:r w:rsidR="00A56335">
        <w:rPr>
          <w:rFonts w:ascii="Arial" w:hAnsi="Arial" w:cs="Arial"/>
          <w:bCs/>
          <w:i/>
          <w:iCs/>
        </w:rPr>
        <w:t>ypothesis</w:t>
      </w:r>
    </w:p>
    <w:p w14:paraId="7864860D" w14:textId="4195396B" w:rsidR="001E052A" w:rsidRDefault="001E052A" w:rsidP="001E052A">
      <w:pPr>
        <w:spacing w:beforeLines="100" w:before="240" w:after="20"/>
        <w:rPr>
          <w:rFonts w:ascii="Arial" w:hAnsi="Arial" w:cs="Arial"/>
          <w:bCs/>
        </w:rPr>
      </w:pPr>
      <w:r w:rsidRPr="008A5AC0">
        <w:rPr>
          <w:rFonts w:ascii="Arial" w:hAnsi="Arial" w:cs="Arial"/>
          <w:bCs/>
        </w:rPr>
        <w:t>ACE inhibitors have been used widely in the treatment of high blood pressure (hypertension)</w:t>
      </w:r>
      <w:r>
        <w:rPr>
          <w:rFonts w:ascii="Arial" w:hAnsi="Arial" w:cs="Arial"/>
          <w:bCs/>
        </w:rPr>
        <w:t xml:space="preserve"> or other conditions where hypertension is a complication</w:t>
      </w:r>
      <w:r w:rsidRPr="008A5AC0">
        <w:rPr>
          <w:rFonts w:ascii="Arial" w:hAnsi="Arial" w:cs="Arial"/>
          <w:bCs/>
        </w:rPr>
        <w:t xml:space="preserve">. </w:t>
      </w:r>
      <w:r>
        <w:rPr>
          <w:rFonts w:ascii="Arial" w:hAnsi="Arial" w:cs="Arial"/>
          <w:bCs/>
        </w:rPr>
        <w:t>Although it has been shown that the short-term usage is relatively safe, there are still concerns regarding their long-term effects since long term treatment of hypertension is very common. Up to now, there is only a limited number of population-based cohort studies on this question. But I believe it is helpful to continue the work because ACE inhibitors are widely prescribed. Personally, I have a couple of friends who have family history of hypertension. They are taking or have the potential to take ACE inhibitors.</w:t>
      </w:r>
    </w:p>
    <w:p w14:paraId="7044AF63" w14:textId="71DEB698" w:rsidR="00A56335" w:rsidRDefault="00A56335" w:rsidP="00A56335">
      <w:pPr>
        <w:spacing w:before="240"/>
        <w:rPr>
          <w:rFonts w:ascii="Arial" w:hAnsi="Arial" w:cs="Arial"/>
          <w:bCs/>
        </w:rPr>
      </w:pPr>
      <w:r>
        <w:rPr>
          <w:rFonts w:ascii="Arial" w:hAnsi="Arial" w:cs="Arial"/>
          <w:bCs/>
        </w:rPr>
        <w:t xml:space="preserve">Based on my </w:t>
      </w:r>
      <w:r w:rsidR="00DB511D">
        <w:rPr>
          <w:rFonts w:ascii="Arial" w:hAnsi="Arial" w:cs="Arial"/>
          <w:bCs/>
        </w:rPr>
        <w:t>literature review</w:t>
      </w:r>
      <w:r>
        <w:rPr>
          <w:rFonts w:ascii="Arial" w:hAnsi="Arial" w:cs="Arial"/>
          <w:bCs/>
        </w:rPr>
        <w:t xml:space="preserve"> on the question, I conduct</w:t>
      </w:r>
      <w:r w:rsidR="005540E7">
        <w:rPr>
          <w:rFonts w:ascii="Arial" w:hAnsi="Arial" w:cs="Arial"/>
          <w:bCs/>
        </w:rPr>
        <w:t>ed</w:t>
      </w:r>
      <w:r>
        <w:rPr>
          <w:rFonts w:ascii="Arial" w:hAnsi="Arial" w:cs="Arial"/>
          <w:bCs/>
        </w:rPr>
        <w:t xml:space="preserve"> population-based cohort stud</w:t>
      </w:r>
      <w:r w:rsidR="0025539F">
        <w:rPr>
          <w:rFonts w:ascii="Arial" w:hAnsi="Arial" w:cs="Arial"/>
          <w:bCs/>
        </w:rPr>
        <w:t>ies</w:t>
      </w:r>
      <w:r>
        <w:rPr>
          <w:rFonts w:ascii="Arial" w:hAnsi="Arial" w:cs="Arial"/>
          <w:bCs/>
        </w:rPr>
        <w:t xml:space="preserve"> with the provided claims dataset</w:t>
      </w:r>
      <w:r w:rsidR="00DB511D">
        <w:rPr>
          <w:rFonts w:ascii="Arial" w:hAnsi="Arial" w:cs="Arial"/>
          <w:bCs/>
        </w:rPr>
        <w:t>s</w:t>
      </w:r>
      <w:r w:rsidR="00A74C98">
        <w:rPr>
          <w:rFonts w:ascii="Arial" w:hAnsi="Arial" w:cs="Arial"/>
          <w:bCs/>
        </w:rPr>
        <w:t xml:space="preserve">, </w:t>
      </w:r>
      <w:r w:rsidR="00D064CD">
        <w:rPr>
          <w:rFonts w:ascii="Arial" w:hAnsi="Arial" w:cs="Arial"/>
          <w:bCs/>
        </w:rPr>
        <w:t>using</w:t>
      </w:r>
      <w:r w:rsidR="008F7485">
        <w:rPr>
          <w:rFonts w:ascii="Arial" w:hAnsi="Arial" w:cs="Arial"/>
          <w:bCs/>
        </w:rPr>
        <w:t xml:space="preserve"> both</w:t>
      </w:r>
      <w:r w:rsidR="00B23C09">
        <w:rPr>
          <w:rFonts w:ascii="Arial" w:hAnsi="Arial" w:cs="Arial"/>
          <w:bCs/>
        </w:rPr>
        <w:t xml:space="preserve"> Atlas and R package</w:t>
      </w:r>
      <w:r>
        <w:rPr>
          <w:rFonts w:ascii="Arial" w:hAnsi="Arial" w:cs="Arial"/>
          <w:bCs/>
        </w:rPr>
        <w:t xml:space="preserve">. </w:t>
      </w:r>
      <w:r w:rsidR="00FF0BDF">
        <w:rPr>
          <w:rFonts w:ascii="Arial" w:hAnsi="Arial" w:cs="Arial"/>
          <w:bCs/>
        </w:rPr>
        <w:t xml:space="preserve">My hypothesis was that, </w:t>
      </w:r>
      <w:r w:rsidR="00C31EEB">
        <w:rPr>
          <w:rFonts w:ascii="Arial" w:hAnsi="Arial" w:cs="Arial"/>
          <w:bCs/>
        </w:rPr>
        <w:t xml:space="preserve">regular use of ACE inhibitors is not associated with an increased cancer risk, although </w:t>
      </w:r>
      <w:r w:rsidR="00205656">
        <w:rPr>
          <w:rFonts w:ascii="Arial" w:hAnsi="Arial" w:cs="Arial"/>
          <w:bCs/>
        </w:rPr>
        <w:t>there is concern regarding the lung cancer association</w:t>
      </w:r>
      <w:r w:rsidR="00183E6D">
        <w:rPr>
          <w:rFonts w:ascii="Arial" w:hAnsi="Arial" w:cs="Arial"/>
          <w:bCs/>
        </w:rPr>
        <w:t xml:space="preserve"> (I cannot agree or disagree on lung cancer since there is no data in the provided datasets)</w:t>
      </w:r>
      <w:r w:rsidR="00205656">
        <w:rPr>
          <w:rFonts w:ascii="Arial" w:hAnsi="Arial" w:cs="Arial"/>
          <w:bCs/>
        </w:rPr>
        <w:t xml:space="preserve">. </w:t>
      </w:r>
    </w:p>
    <w:p w14:paraId="3EDCD8B2" w14:textId="4061D0E9" w:rsidR="006C7A64" w:rsidRDefault="006C7A64" w:rsidP="00E2271F">
      <w:pPr>
        <w:pStyle w:val="Header4"/>
        <w:rPr>
          <w:u w:val="none"/>
        </w:rPr>
      </w:pPr>
      <w:r>
        <w:rPr>
          <w:u w:val="none"/>
        </w:rPr>
        <w:t>Methods</w:t>
      </w:r>
    </w:p>
    <w:p w14:paraId="03985CCE" w14:textId="5BA71930" w:rsidR="00D74877" w:rsidRDefault="00D74877" w:rsidP="000D528E">
      <w:pPr>
        <w:spacing w:beforeLines="100" w:before="240" w:after="20"/>
        <w:rPr>
          <w:rFonts w:ascii="Arial" w:hAnsi="Arial" w:cs="Arial"/>
          <w:bCs/>
          <w:i/>
          <w:iCs/>
        </w:rPr>
      </w:pPr>
      <w:r w:rsidRPr="000D528E">
        <w:rPr>
          <w:rFonts w:ascii="Arial" w:hAnsi="Arial" w:cs="Arial"/>
          <w:bCs/>
          <w:i/>
          <w:iCs/>
        </w:rPr>
        <w:t xml:space="preserve">Data </w:t>
      </w:r>
      <w:r w:rsidR="000D528E">
        <w:rPr>
          <w:rFonts w:ascii="Arial" w:hAnsi="Arial" w:cs="Arial"/>
          <w:bCs/>
          <w:i/>
          <w:iCs/>
        </w:rPr>
        <w:t>S</w:t>
      </w:r>
      <w:r w:rsidRPr="000D528E">
        <w:rPr>
          <w:rFonts w:ascii="Arial" w:hAnsi="Arial" w:cs="Arial"/>
          <w:bCs/>
          <w:i/>
          <w:iCs/>
        </w:rPr>
        <w:t xml:space="preserve">ource </w:t>
      </w:r>
    </w:p>
    <w:p w14:paraId="347E3BA0" w14:textId="2BBC0451" w:rsidR="0034202F" w:rsidRDefault="0034202F" w:rsidP="0034202F">
      <w:pPr>
        <w:spacing w:before="240"/>
        <w:rPr>
          <w:rFonts w:ascii="Arial" w:hAnsi="Arial" w:cs="Arial"/>
          <w:bCs/>
        </w:rPr>
      </w:pPr>
      <w:r w:rsidRPr="0034202F">
        <w:rPr>
          <w:rFonts w:ascii="Arial" w:hAnsi="Arial" w:cs="Arial"/>
          <w:bCs/>
        </w:rPr>
        <w:t xml:space="preserve">This cohort study </w:t>
      </w:r>
      <w:r>
        <w:rPr>
          <w:rFonts w:ascii="Arial" w:hAnsi="Arial" w:cs="Arial"/>
          <w:bCs/>
        </w:rPr>
        <w:t xml:space="preserve">was designed to learn the relationship between long-term usage of ACEs inhibitors and occurrence of cancer. </w:t>
      </w:r>
      <w:r w:rsidR="00537FD3">
        <w:rPr>
          <w:rFonts w:ascii="Arial" w:hAnsi="Arial" w:cs="Arial"/>
          <w:bCs/>
        </w:rPr>
        <w:t xml:space="preserve">Patients were selected from CMS Data </w:t>
      </w:r>
      <w:r w:rsidR="006A4665">
        <w:rPr>
          <w:rFonts w:ascii="Arial" w:hAnsi="Arial" w:cs="Arial"/>
          <w:bCs/>
        </w:rPr>
        <w:t>Claims</w:t>
      </w:r>
      <w:r w:rsidR="00537FD3">
        <w:rPr>
          <w:rFonts w:ascii="Arial" w:hAnsi="Arial" w:cs="Arial"/>
          <w:bCs/>
        </w:rPr>
        <w:t xml:space="preserve"> Synthetic Public Use File (SynPUF</w:t>
      </w:r>
      <w:r w:rsidR="006A4665">
        <w:rPr>
          <w:rFonts w:ascii="Arial" w:hAnsi="Arial" w:cs="Arial"/>
          <w:bCs/>
        </w:rPr>
        <w:t>s</w:t>
      </w:r>
      <w:r w:rsidR="00537FD3">
        <w:rPr>
          <w:rFonts w:ascii="Arial" w:hAnsi="Arial" w:cs="Arial"/>
          <w:bCs/>
        </w:rPr>
        <w:t>)</w:t>
      </w:r>
      <w:r w:rsidR="006A4665">
        <w:rPr>
          <w:rFonts w:ascii="Arial" w:hAnsi="Arial" w:cs="Arial"/>
          <w:bCs/>
        </w:rPr>
        <w:t xml:space="preserve"> </w:t>
      </w:r>
      <w:r w:rsidR="006A4665">
        <w:rPr>
          <w:rFonts w:ascii="Arial" w:hAnsi="Arial" w:cs="Arial"/>
          <w:bCs/>
        </w:rPr>
        <w:fldChar w:fldCharType="begin" w:fldLock="1"/>
      </w:r>
      <w:r w:rsidR="00E70673">
        <w:rPr>
          <w:rFonts w:ascii="Arial" w:hAnsi="Arial" w:cs="Arial"/>
          <w:bCs/>
        </w:rPr>
        <w:instrText>ADDIN CSL_CITATION {"citationItems":[{"id":"ITEM-1","itemData":{"URL":"https://www.cms.gov/Research-Statistics-Data-and-Systems/Downloadable-Public-Use-Files/SynPUFs","accessed":{"date-parts":[["2020","3","5"]]},"id":"ITEM-1","issued":{"date-parts":[["0"]]},"title":"Medicare Claims Synthetic Public Use Files (SynPUFs) | CMS","type":"webpage"},"uris":["http://www.mendeley.com/documents/?uuid=0ffbed1e-ea17-3b5f-b70a-b6ad4261e04b"]}],"mendeley":{"formattedCitation":"(“Medicare Claims Synthetic Public Use Files (SynPUFs) | CMS,” n.d.)","plainTextFormattedCitation":"(“Medicare Claims Synthetic Public Use Files (SynPUFs) | CMS,” n.d.)","previouslyFormattedCitation":"(“Medicare Claims Synthetic Public Use Files (SynPUFs) | CMS,” n.d.)"},"properties":{"noteIndex":0},"schema":"https://github.com/citation-style-language/schema/raw/master/csl-citation.json"}</w:instrText>
      </w:r>
      <w:r w:rsidR="006A4665">
        <w:rPr>
          <w:rFonts w:ascii="Arial" w:hAnsi="Arial" w:cs="Arial"/>
          <w:bCs/>
        </w:rPr>
        <w:fldChar w:fldCharType="separate"/>
      </w:r>
      <w:r w:rsidR="006A4665" w:rsidRPr="006A4665">
        <w:rPr>
          <w:rFonts w:ascii="Arial" w:hAnsi="Arial" w:cs="Arial"/>
          <w:bCs/>
          <w:noProof/>
        </w:rPr>
        <w:t>(“Medicare Claims Synthetic Public Use Files (SynPUFs) | CMS,” n.d.)</w:t>
      </w:r>
      <w:r w:rsidR="006A4665">
        <w:rPr>
          <w:rFonts w:ascii="Arial" w:hAnsi="Arial" w:cs="Arial"/>
          <w:bCs/>
        </w:rPr>
        <w:fldChar w:fldCharType="end"/>
      </w:r>
      <w:r w:rsidR="006A4665">
        <w:rPr>
          <w:rFonts w:ascii="Arial" w:hAnsi="Arial" w:cs="Arial"/>
          <w:bCs/>
        </w:rPr>
        <w:t xml:space="preserve">. </w:t>
      </w:r>
      <w:r w:rsidR="00DD582F">
        <w:rPr>
          <w:rFonts w:ascii="Arial" w:hAnsi="Arial" w:cs="Arial"/>
          <w:bCs/>
        </w:rPr>
        <w:t>Th</w:t>
      </w:r>
      <w:r w:rsidR="006A4665">
        <w:rPr>
          <w:rFonts w:ascii="Arial" w:hAnsi="Arial" w:cs="Arial"/>
          <w:bCs/>
        </w:rPr>
        <w:t>e</w:t>
      </w:r>
      <w:r w:rsidR="00DD582F">
        <w:rPr>
          <w:rFonts w:ascii="Arial" w:hAnsi="Arial" w:cs="Arial"/>
          <w:bCs/>
        </w:rPr>
        <w:t xml:space="preserve"> </w:t>
      </w:r>
      <w:r w:rsidR="00DD582F">
        <w:rPr>
          <w:rFonts w:ascii="Arial" w:hAnsi="Arial" w:cs="Arial"/>
          <w:bCs/>
        </w:rPr>
        <w:t>DE-SynPUF</w:t>
      </w:r>
      <w:r w:rsidR="00DD582F">
        <w:rPr>
          <w:rFonts w:ascii="Arial" w:hAnsi="Arial" w:cs="Arial"/>
          <w:bCs/>
        </w:rPr>
        <w:t xml:space="preserve"> </w:t>
      </w:r>
      <w:r w:rsidR="00417470">
        <w:rPr>
          <w:rFonts w:ascii="Arial" w:hAnsi="Arial" w:cs="Arial"/>
          <w:bCs/>
        </w:rPr>
        <w:t>was created with high similarity to</w:t>
      </w:r>
      <w:r w:rsidR="006A4665">
        <w:rPr>
          <w:rFonts w:ascii="Arial" w:hAnsi="Arial" w:cs="Arial"/>
          <w:bCs/>
        </w:rPr>
        <w:t xml:space="preserve"> </w:t>
      </w:r>
      <w:r w:rsidR="008F3BEF">
        <w:rPr>
          <w:rFonts w:ascii="Arial" w:hAnsi="Arial" w:cs="Arial"/>
          <w:bCs/>
        </w:rPr>
        <w:t>real claims data</w:t>
      </w:r>
      <w:r w:rsidR="006A4665">
        <w:rPr>
          <w:rFonts w:ascii="Arial" w:hAnsi="Arial" w:cs="Arial"/>
          <w:bCs/>
        </w:rPr>
        <w:t>, including</w:t>
      </w:r>
      <w:r w:rsidR="00417470">
        <w:rPr>
          <w:rFonts w:ascii="Arial" w:hAnsi="Arial" w:cs="Arial"/>
          <w:bCs/>
        </w:rPr>
        <w:t xml:space="preserve"> </w:t>
      </w:r>
      <w:r w:rsidR="00DD582F">
        <w:rPr>
          <w:rFonts w:ascii="Arial" w:hAnsi="Arial" w:cs="Arial"/>
          <w:bCs/>
        </w:rPr>
        <w:t xml:space="preserve">beneficiary summary, inpatient claims, outpatient claims, carrier claims and prescription drug events. </w:t>
      </w:r>
      <w:r w:rsidR="001B1894">
        <w:rPr>
          <w:rFonts w:ascii="Arial" w:hAnsi="Arial" w:cs="Arial"/>
          <w:bCs/>
        </w:rPr>
        <w:t>The whole dataset contains 2.33 million synthetic patients</w:t>
      </w:r>
      <w:r w:rsidR="00EF5243">
        <w:rPr>
          <w:rFonts w:ascii="Arial" w:hAnsi="Arial" w:cs="Arial"/>
          <w:bCs/>
        </w:rPr>
        <w:t xml:space="preserve"> while the provided subset</w:t>
      </w:r>
      <w:r w:rsidR="00BE5C21">
        <w:rPr>
          <w:rFonts w:ascii="Arial" w:hAnsi="Arial" w:cs="Arial"/>
          <w:bCs/>
        </w:rPr>
        <w:t>s</w:t>
      </w:r>
      <w:r w:rsidR="00EF5243">
        <w:rPr>
          <w:rFonts w:ascii="Arial" w:hAnsi="Arial" w:cs="Arial"/>
          <w:bCs/>
        </w:rPr>
        <w:t xml:space="preserve"> </w:t>
      </w:r>
      <w:r w:rsidR="00336257">
        <w:rPr>
          <w:rFonts w:ascii="Arial" w:hAnsi="Arial" w:cs="Arial"/>
          <w:bCs/>
        </w:rPr>
        <w:t>(CMSDESynPUF100k</w:t>
      </w:r>
      <w:r w:rsidR="00BE5C21">
        <w:rPr>
          <w:rFonts w:ascii="Arial" w:hAnsi="Arial" w:cs="Arial"/>
          <w:bCs/>
        </w:rPr>
        <w:t xml:space="preserve"> and </w:t>
      </w:r>
      <w:r w:rsidR="00BE5C21" w:rsidRPr="00AB4F2C">
        <w:rPr>
          <w:rFonts w:ascii="Arial" w:hAnsi="Arial" w:cs="Arial"/>
          <w:bCs/>
        </w:rPr>
        <w:t>CMSDESynPUF23m</w:t>
      </w:r>
      <w:r w:rsidR="00336257">
        <w:rPr>
          <w:rFonts w:ascii="Arial" w:hAnsi="Arial" w:cs="Arial"/>
          <w:bCs/>
        </w:rPr>
        <w:t xml:space="preserve">) </w:t>
      </w:r>
      <w:r w:rsidR="00EF5243">
        <w:rPr>
          <w:rFonts w:ascii="Arial" w:hAnsi="Arial" w:cs="Arial"/>
          <w:bCs/>
        </w:rPr>
        <w:t>of this study</w:t>
      </w:r>
      <w:r w:rsidR="0054328C">
        <w:rPr>
          <w:rFonts w:ascii="Arial" w:hAnsi="Arial" w:cs="Arial"/>
          <w:bCs/>
        </w:rPr>
        <w:t xml:space="preserve"> </w:t>
      </w:r>
      <w:r w:rsidR="00BE5C21">
        <w:rPr>
          <w:rFonts w:ascii="Arial" w:hAnsi="Arial" w:cs="Arial"/>
          <w:bCs/>
        </w:rPr>
        <w:t>were</w:t>
      </w:r>
      <w:r w:rsidR="0054328C">
        <w:rPr>
          <w:rFonts w:ascii="Arial" w:hAnsi="Arial" w:cs="Arial"/>
          <w:bCs/>
        </w:rPr>
        <w:t xml:space="preserve"> part</w:t>
      </w:r>
      <w:r w:rsidR="00BE5C21">
        <w:rPr>
          <w:rFonts w:ascii="Arial" w:hAnsi="Arial" w:cs="Arial"/>
          <w:bCs/>
        </w:rPr>
        <w:t>s</w:t>
      </w:r>
      <w:r w:rsidR="0054328C">
        <w:rPr>
          <w:rFonts w:ascii="Arial" w:hAnsi="Arial" w:cs="Arial"/>
          <w:bCs/>
        </w:rPr>
        <w:t xml:space="preserve"> of its first release </w:t>
      </w:r>
      <w:r w:rsidR="00D46687">
        <w:rPr>
          <w:rFonts w:ascii="Arial" w:hAnsi="Arial" w:cs="Arial"/>
          <w:bCs/>
        </w:rPr>
        <w:t>(</w:t>
      </w:r>
      <w:r w:rsidR="00D46687" w:rsidRPr="00D46687">
        <w:rPr>
          <w:rFonts w:ascii="Arial" w:hAnsi="Arial" w:cs="Arial"/>
          <w:bCs/>
        </w:rPr>
        <w:t>2008-2010 Data Entrepreneurs’ SynPUF</w:t>
      </w:r>
      <w:r w:rsidR="00D46687" w:rsidRPr="00D46687">
        <w:rPr>
          <w:rFonts w:ascii="Arial" w:hAnsi="Arial" w:cs="Arial"/>
          <w:bCs/>
        </w:rPr>
        <w:t>)</w:t>
      </w:r>
      <w:r w:rsidR="00EF5243">
        <w:rPr>
          <w:rFonts w:ascii="Arial" w:hAnsi="Arial" w:cs="Arial"/>
          <w:bCs/>
        </w:rPr>
        <w:t>.</w:t>
      </w:r>
    </w:p>
    <w:p w14:paraId="294AA777" w14:textId="7BCE8C42" w:rsidR="000D528E" w:rsidRDefault="000D528E" w:rsidP="00F468CE">
      <w:pPr>
        <w:spacing w:beforeLines="100" w:before="240" w:after="20"/>
        <w:rPr>
          <w:rFonts w:ascii="Arial" w:hAnsi="Arial" w:cs="Arial"/>
          <w:bCs/>
          <w:i/>
          <w:iCs/>
        </w:rPr>
      </w:pPr>
      <w:r w:rsidRPr="00F468CE">
        <w:rPr>
          <w:rFonts w:ascii="Arial" w:hAnsi="Arial" w:cs="Arial"/>
          <w:bCs/>
          <w:i/>
          <w:iCs/>
        </w:rPr>
        <w:t>Cohort Definitions</w:t>
      </w:r>
    </w:p>
    <w:p w14:paraId="03411BED" w14:textId="2EF5900B" w:rsidR="0036011F" w:rsidRDefault="00615578" w:rsidP="00615578">
      <w:pPr>
        <w:spacing w:beforeLines="100" w:before="240" w:after="20"/>
        <w:rPr>
          <w:rFonts w:ascii="Arial" w:hAnsi="Arial" w:cs="Arial"/>
          <w:bCs/>
        </w:rPr>
      </w:pPr>
      <w:r>
        <w:rPr>
          <w:rFonts w:ascii="Arial" w:hAnsi="Arial" w:cs="Arial"/>
          <w:bCs/>
        </w:rPr>
        <w:t>The t</w:t>
      </w:r>
      <w:r w:rsidRPr="00A41ADA">
        <w:rPr>
          <w:rFonts w:ascii="Arial" w:hAnsi="Arial" w:cs="Arial"/>
          <w:bCs/>
        </w:rPr>
        <w:t>arget cohort</w:t>
      </w:r>
      <w:r>
        <w:rPr>
          <w:rFonts w:ascii="Arial" w:hAnsi="Arial" w:cs="Arial"/>
          <w:bCs/>
        </w:rPr>
        <w:t xml:space="preserve"> was defined as</w:t>
      </w:r>
      <w:r w:rsidRPr="00A41ADA">
        <w:rPr>
          <w:rFonts w:ascii="Arial" w:hAnsi="Arial" w:cs="Arial"/>
          <w:bCs/>
        </w:rPr>
        <w:t xml:space="preserve"> </w:t>
      </w:r>
      <w:r>
        <w:rPr>
          <w:rFonts w:ascii="Arial" w:hAnsi="Arial" w:cs="Arial"/>
          <w:bCs/>
        </w:rPr>
        <w:t>p</w:t>
      </w:r>
      <w:r>
        <w:rPr>
          <w:rFonts w:ascii="Arial" w:hAnsi="Arial" w:cs="Arial"/>
          <w:bCs/>
        </w:rPr>
        <w:t>atients with a history of hypertension, taking ACE inhibitors and have at least one year of follow up</w:t>
      </w:r>
      <w:r>
        <w:rPr>
          <w:rFonts w:ascii="Arial" w:hAnsi="Arial" w:cs="Arial"/>
          <w:bCs/>
        </w:rPr>
        <w:t>. The c</w:t>
      </w:r>
      <w:r w:rsidRPr="00A41ADA">
        <w:rPr>
          <w:rFonts w:ascii="Arial" w:hAnsi="Arial" w:cs="Arial"/>
          <w:bCs/>
        </w:rPr>
        <w:t>omparator cohort</w:t>
      </w:r>
      <w:r>
        <w:rPr>
          <w:rFonts w:ascii="Arial" w:hAnsi="Arial" w:cs="Arial"/>
          <w:bCs/>
        </w:rPr>
        <w:t xml:space="preserve"> was defined as</w:t>
      </w:r>
      <w:r>
        <w:rPr>
          <w:rFonts w:ascii="Arial" w:hAnsi="Arial" w:cs="Arial"/>
          <w:bCs/>
        </w:rPr>
        <w:t xml:space="preserve"> </w:t>
      </w:r>
      <w:r>
        <w:rPr>
          <w:rFonts w:ascii="Arial" w:hAnsi="Arial" w:cs="Arial"/>
          <w:bCs/>
        </w:rPr>
        <w:t>p</w:t>
      </w:r>
      <w:r>
        <w:rPr>
          <w:rFonts w:ascii="Arial" w:hAnsi="Arial" w:cs="Arial"/>
          <w:bCs/>
        </w:rPr>
        <w:t>atients with a history of hypertension, taking angiotensin receptor blockers</w:t>
      </w:r>
      <w:r>
        <w:rPr>
          <w:rFonts w:ascii="Arial" w:hAnsi="Arial" w:cs="Arial"/>
          <w:bCs/>
        </w:rPr>
        <w:t xml:space="preserve"> (ARBs)</w:t>
      </w:r>
      <w:r>
        <w:rPr>
          <w:rFonts w:ascii="Arial" w:hAnsi="Arial" w:cs="Arial"/>
          <w:bCs/>
        </w:rPr>
        <w:t xml:space="preserve"> and have at least one year of follow up</w:t>
      </w:r>
      <w:r>
        <w:rPr>
          <w:rFonts w:ascii="Arial" w:hAnsi="Arial" w:cs="Arial"/>
          <w:bCs/>
        </w:rPr>
        <w:t>. The outcome cohort was defined as</w:t>
      </w:r>
      <w:r>
        <w:rPr>
          <w:rFonts w:ascii="Arial" w:hAnsi="Arial" w:cs="Arial"/>
          <w:bCs/>
        </w:rPr>
        <w:t xml:space="preserve"> </w:t>
      </w:r>
      <w:r>
        <w:rPr>
          <w:rFonts w:ascii="Arial" w:hAnsi="Arial" w:cs="Arial"/>
          <w:bCs/>
        </w:rPr>
        <w:t>p</w:t>
      </w:r>
      <w:r>
        <w:rPr>
          <w:rFonts w:ascii="Arial" w:hAnsi="Arial" w:cs="Arial"/>
          <w:bCs/>
        </w:rPr>
        <w:t>atients who got a diagnosis of cancer after taking ACE inhibitors</w:t>
      </w:r>
      <w:r>
        <w:rPr>
          <w:rFonts w:ascii="Arial" w:hAnsi="Arial" w:cs="Arial"/>
          <w:bCs/>
        </w:rPr>
        <w:t xml:space="preserve"> or ARB</w:t>
      </w:r>
      <w:r w:rsidR="008A7BDA">
        <w:rPr>
          <w:rFonts w:ascii="Arial" w:hAnsi="Arial" w:cs="Arial"/>
          <w:bCs/>
        </w:rPr>
        <w:t xml:space="preserve">s. </w:t>
      </w:r>
      <w:r w:rsidR="0036011F">
        <w:rPr>
          <w:rFonts w:ascii="Arial" w:hAnsi="Arial" w:cs="Arial"/>
          <w:bCs/>
        </w:rPr>
        <w:t xml:space="preserve">Patients who had a diagnosis of any cancer prior to taking ACE inhibitors or ARBs were excluded. </w:t>
      </w:r>
      <w:r w:rsidR="00C1716D">
        <w:rPr>
          <w:rFonts w:ascii="Arial" w:hAnsi="Arial" w:cs="Arial"/>
          <w:bCs/>
        </w:rPr>
        <w:t>For the outcome cohort, I defined the observation window to be 1-3 years before index start date, which means only patients who have been taking ACE inhibitors or ARBs for 1-3 years will be included. The “one year” was decided based on the study of Yi-Yang Chiang’s team</w:t>
      </w:r>
      <w:r w:rsidR="00C1716D">
        <w:rPr>
          <w:rFonts w:ascii="Arial" w:hAnsi="Arial" w:cs="Arial"/>
          <w:bCs/>
        </w:rPr>
        <w:t xml:space="preserve"> </w:t>
      </w:r>
      <w:r w:rsidR="00C1716D">
        <w:rPr>
          <w:rFonts w:ascii="Arial" w:hAnsi="Arial" w:cs="Arial"/>
          <w:bCs/>
        </w:rPr>
        <w:fldChar w:fldCharType="begin" w:fldLock="1"/>
      </w:r>
      <w:r w:rsidR="00B15464">
        <w:rPr>
          <w:rFonts w:ascii="Arial" w:hAnsi="Arial" w:cs="Arial"/>
          <w:bCs/>
        </w:rPr>
        <w:instrText>ADDIN CSL_CITATION {"citationItems":[{"id":"ITEM-1","itemData":{"DOI":"10.1111/jch.12228","ISSN":"15246175","abstract":"There are conflicting reports on cancer risk associated with angiotensin-converting enzyme (ACE) inhibitors/angiotensin receptor blockers (ARBs). This retrospective cohort study was conducted to analyze the risk of cancer development in patients who received ACE inhibitors/ARBs as treatment for essential hypertension. Using the Taiwan National Health Insurance Research Database, 297,688 eligible study patients with essential hypertension were identified. According to their antihypertensive prescriptions, the study patients were stratified into an ACE inhibitor group, an ARB group, or a control group. After matching, participants were observed for the occurrence of cancer. In the ACE inhibitor group compared with the control group, the hazard ratio was 0.51 (95% confidence interval, 0.39-0.68). In the ARB group compared with the control group, the hazard ratio was 0.8 (95% confidence interval, 0.65-0.97). Regular use of ACE inhibitors/ARBs was not associated with an increased risk of cancer development and was actually found to decrease overall cancer risk in this study. ©2013 Wiley Periodicals, Inc.","author":[{"dropping-particle":"","family":"Chiang","given":"Yi Ying","non-dropping-particle":"","parse-names":false,"suffix":""},{"dropping-particle":"","family":"Chen","given":"Kuen Bao","non-dropping-particle":"","parse-names":false,"suffix":""},{"dropping-particle":"","family":"Tsai","given":"Tung Han","non-dropping-particle":"","parse-names":false,"suffix":""},{"dropping-particle":"","family":"Tsai","given":"Wen Chen","non-dropping-particle":"","parse-names":false,"suffix":""}],"container-title":"Journal of Clinical Hypertension","id":"ITEM-1","issue":"1","issued":{"date-parts":[["2014"]]},"page":"27-33","title":"Lowered Cancer Risk With ACE Inhibitors/ARBs: A Population-Based Cohort Study","type":"article-journal","volume":"16"},"uris":["http://www.mendeley.com/documents/?uuid=f1dd4886-558e-40d0-8a56-bd2ebe1219e6"]}],"mendeley":{"formattedCitation":"(Chiang et al., 2014)","plainTextFormattedCitation":"(Chiang et al., 2014)","previouslyFormattedCitation":"(Chiang et al., 2014)"},"properties":{"noteIndex":0},"schema":"https://github.com/citation-style-language/schema/raw/master/csl-citation.json"}</w:instrText>
      </w:r>
      <w:r w:rsidR="00C1716D">
        <w:rPr>
          <w:rFonts w:ascii="Arial" w:hAnsi="Arial" w:cs="Arial"/>
          <w:bCs/>
        </w:rPr>
        <w:fldChar w:fldCharType="separate"/>
      </w:r>
      <w:r w:rsidR="00C1716D" w:rsidRPr="00C1716D">
        <w:rPr>
          <w:rFonts w:ascii="Arial" w:hAnsi="Arial" w:cs="Arial"/>
          <w:bCs/>
          <w:noProof/>
        </w:rPr>
        <w:t>(Chiang et al., 2014)</w:t>
      </w:r>
      <w:r w:rsidR="00C1716D">
        <w:rPr>
          <w:rFonts w:ascii="Arial" w:hAnsi="Arial" w:cs="Arial"/>
          <w:bCs/>
        </w:rPr>
        <w:fldChar w:fldCharType="end"/>
      </w:r>
      <w:r w:rsidR="00C1716D">
        <w:rPr>
          <w:rFonts w:ascii="Arial" w:hAnsi="Arial" w:cs="Arial"/>
          <w:bCs/>
        </w:rPr>
        <w:t xml:space="preserve"> </w:t>
      </w:r>
      <w:r w:rsidR="00C1716D" w:rsidRPr="00C1716D">
        <w:rPr>
          <w:rFonts w:ascii="Arial" w:hAnsi="Arial" w:cs="Arial"/>
          <w:bCs/>
        </w:rPr>
        <w:t>and the “three years” was a restriction of the database.</w:t>
      </w:r>
    </w:p>
    <w:p w14:paraId="6780A170" w14:textId="7BD1B51A" w:rsidR="00100891" w:rsidRDefault="00E70673" w:rsidP="00615578">
      <w:pPr>
        <w:spacing w:beforeLines="100" w:before="240" w:after="20"/>
        <w:rPr>
          <w:rFonts w:ascii="Arial" w:hAnsi="Arial" w:cs="Arial"/>
          <w:bCs/>
          <w:noProof/>
        </w:rPr>
      </w:pPr>
      <w:r>
        <w:rPr>
          <w:rFonts w:ascii="Arial" w:hAnsi="Arial" w:cs="Arial"/>
          <w:bCs/>
        </w:rPr>
        <w:t xml:space="preserve">ICD-10 codes for “hypertension” were determined as I10-I13 and I15 </w:t>
      </w:r>
      <w:r>
        <w:rPr>
          <w:rFonts w:ascii="Arial" w:hAnsi="Arial" w:cs="Arial"/>
          <w:bCs/>
        </w:rPr>
        <w:fldChar w:fldCharType="begin" w:fldLock="1"/>
      </w:r>
      <w:r w:rsidR="00100891">
        <w:rPr>
          <w:rFonts w:ascii="Arial" w:hAnsi="Arial" w:cs="Arial"/>
          <w:bCs/>
        </w:rPr>
        <w:instrText>ADDIN CSL_CITATION {"citationItems":[{"id":"ITEM-1","itemData":{"URL":"http://mchp-appserv.cpe.umanitoba.ca/viewConcept.php?printer=Y&amp;conceptID=1087","accessed":{"date-parts":[["2020","2","13"]]},"id":"ITEM-1","issued":{"date-parts":[["0"]]},"title":"Concept: Hypertension - Measuring Prevalence","type":"webpage"},"uris":["http://www.mendeley.com/documents/?uuid=d7add292-f50b-370a-b339-4dc9a239f22f"]}],"mendeley":{"formattedCitation":"(“Concept: Hypertension - Measuring Prevalence,” n.d.)","plainTextFormattedCitation":"(“Concept: Hypertension - Measuring Prevalence,” n.d.)","previouslyFormattedCitation":"(“Concept: Hypertension - Measuring Prevalence,” n.d.)"},"properties":{"noteIndex":0},"schema":"https://github.com/citation-style-language/schema/raw/master/csl-citation.json"}</w:instrText>
      </w:r>
      <w:r>
        <w:rPr>
          <w:rFonts w:ascii="Arial" w:hAnsi="Arial" w:cs="Arial"/>
          <w:bCs/>
        </w:rPr>
        <w:fldChar w:fldCharType="separate"/>
      </w:r>
      <w:r w:rsidRPr="00E70673">
        <w:rPr>
          <w:rFonts w:ascii="Arial" w:hAnsi="Arial" w:cs="Arial"/>
          <w:bCs/>
          <w:noProof/>
        </w:rPr>
        <w:t>(“Concept: Hypertension - Measuring Prevalence,” n.d.)</w:t>
      </w:r>
      <w:r>
        <w:rPr>
          <w:rFonts w:ascii="Arial" w:hAnsi="Arial" w:cs="Arial"/>
          <w:bCs/>
        </w:rPr>
        <w:fldChar w:fldCharType="end"/>
      </w:r>
      <w:r>
        <w:rPr>
          <w:rFonts w:ascii="Arial" w:hAnsi="Arial" w:cs="Arial"/>
          <w:bCs/>
        </w:rPr>
        <w:t xml:space="preserve">. </w:t>
      </w:r>
      <w:r w:rsidR="00100891">
        <w:rPr>
          <w:rFonts w:ascii="Arial" w:hAnsi="Arial" w:cs="Arial"/>
          <w:bCs/>
        </w:rPr>
        <w:t xml:space="preserve">Codes for “ACE inhibitors” were determined as C09A and C09B </w:t>
      </w:r>
      <w:r w:rsidR="00100891">
        <w:rPr>
          <w:rFonts w:ascii="Arial" w:hAnsi="Arial" w:cs="Arial"/>
          <w:bCs/>
        </w:rPr>
        <w:fldChar w:fldCharType="begin" w:fldLock="1"/>
      </w:r>
      <w:r w:rsidR="00100891">
        <w:rPr>
          <w:rFonts w:ascii="Arial" w:hAnsi="Arial" w:cs="Arial"/>
          <w:bCs/>
        </w:rPr>
        <w:instrText>ADDIN CSL_CITATION {"citationItems":[{"id":"ITEM-1","itemData":{"URL":"http://mchp-appserv.cpe.umanitoba.ca/viewConcept.php?printer=Y&amp;conceptID=1473","accessed":{"date-parts":[["2020","2","15"]]},"id":"ITEM-1","issued":{"date-parts":[["0"]]},"title":"Concept: Angiotensin Converting Enzyme (ACE) Inhibitors and Angiotensin Receptor Blocker (ARB) Prescriptions - Defined","type":"webpage"},"uris":["http://www.mendeley.com/documents/?uuid=fe2c09da-e0e7-30be-8c33-5b0c66ac59a6"]}],"mendeley":{"formattedCitation":"(“Concept: Angiotensin Converting Enzyme (ACE) Inhibitors and Angiotensin Receptor Blocker (ARB) Prescriptions - Defined,” n.d.)","plainTextFormattedCitation":"(“Concept: Angiotensin Converting Enzyme (ACE) Inhibitors and Angiotensin Receptor Blocker (ARB) Prescriptions - Defined,” n.d.)","previouslyFormattedCitation":"(“Concept: Angiotensin Converting Enzyme (ACE) Inhibitors and Angiotensin Receptor Blocker (ARB) Prescriptions - Defined,” n.d.)"},"properties":{"noteIndex":0},"schema":"https://github.com/citation-style-language/schema/raw/master/csl-citation.json"}</w:instrText>
      </w:r>
      <w:r w:rsidR="00100891">
        <w:rPr>
          <w:rFonts w:ascii="Arial" w:hAnsi="Arial" w:cs="Arial"/>
          <w:bCs/>
        </w:rPr>
        <w:fldChar w:fldCharType="separate"/>
      </w:r>
      <w:r w:rsidR="00100891" w:rsidRPr="00100891">
        <w:rPr>
          <w:rFonts w:ascii="Arial" w:hAnsi="Arial" w:cs="Arial"/>
          <w:bCs/>
          <w:noProof/>
        </w:rPr>
        <w:t>(“Concept: Angiotensin Converting Enzyme (ACE) Inhibitors and Angiotensin Receptor Blocker (ARB) Prescriptions - Defined,” n.d.)</w:t>
      </w:r>
      <w:r w:rsidR="00100891">
        <w:rPr>
          <w:rFonts w:ascii="Arial" w:hAnsi="Arial" w:cs="Arial"/>
          <w:bCs/>
        </w:rPr>
        <w:fldChar w:fldCharType="end"/>
      </w:r>
      <w:r w:rsidR="00100891">
        <w:rPr>
          <w:rFonts w:ascii="Arial" w:hAnsi="Arial" w:cs="Arial"/>
          <w:bCs/>
        </w:rPr>
        <w:t xml:space="preserve">. </w:t>
      </w:r>
      <w:r w:rsidR="00100891">
        <w:rPr>
          <w:rFonts w:ascii="Arial" w:hAnsi="Arial" w:cs="Arial"/>
          <w:bCs/>
        </w:rPr>
        <w:lastRenderedPageBreak/>
        <w:t xml:space="preserve">Codes for “ARBs” were determined on Wikipedia as C09CA </w:t>
      </w:r>
      <w:r w:rsidR="00100891">
        <w:rPr>
          <w:rFonts w:ascii="Arial" w:hAnsi="Arial" w:cs="Arial"/>
          <w:bCs/>
        </w:rPr>
        <w:fldChar w:fldCharType="begin" w:fldLock="1"/>
      </w:r>
      <w:r w:rsidR="00C1716D">
        <w:rPr>
          <w:rFonts w:ascii="Arial" w:hAnsi="Arial" w:cs="Arial"/>
          <w:bCs/>
        </w:rPr>
        <w:instrText>ADDIN CSL_CITATION {"citationItems":[{"id":"ITEM-1","itemData":{"URL":"https://en.wikipedia.org/wiki/ATC_code_C09#C09C_Angiotensin_II_receptor_blockers_(ARBs),_plain","accessed":{"date-parts":[["2020","2","15"]]},"id":"ITEM-1","issued":{"date-parts":[["0"]]},"title":"ATC code C09 - Wikipedia","type":"webpage"},"uris":["http://www.mendeley.com/documents/?uuid=a86c4e22-0c5a-3706-bc92-3e5b5ed11a36"]}],"mendeley":{"formattedCitation":"(“ATC code C09 - Wikipedia,” n.d.)","plainTextFormattedCitation":"(“ATC code C09 - Wikipedia,” n.d.)","previouslyFormattedCitation":"(“ATC code C09 - Wikipedia,” n.d.)"},"properties":{"noteIndex":0},"schema":"https://github.com/citation-style-language/schema/raw/master/csl-citation.json"}</w:instrText>
      </w:r>
      <w:r w:rsidR="00100891">
        <w:rPr>
          <w:rFonts w:ascii="Arial" w:hAnsi="Arial" w:cs="Arial"/>
          <w:bCs/>
        </w:rPr>
        <w:fldChar w:fldCharType="separate"/>
      </w:r>
      <w:r w:rsidR="00100891" w:rsidRPr="00100891">
        <w:rPr>
          <w:rFonts w:ascii="Arial" w:hAnsi="Arial" w:cs="Arial"/>
          <w:bCs/>
          <w:noProof/>
        </w:rPr>
        <w:t>(“ATC code C09 - Wikipedia,” n.d.)</w:t>
      </w:r>
      <w:r w:rsidR="00100891">
        <w:rPr>
          <w:rFonts w:ascii="Arial" w:hAnsi="Arial" w:cs="Arial"/>
          <w:bCs/>
        </w:rPr>
        <w:fldChar w:fldCharType="end"/>
      </w:r>
      <w:r w:rsidR="00100891">
        <w:rPr>
          <w:rFonts w:ascii="Arial" w:hAnsi="Arial" w:cs="Arial"/>
          <w:bCs/>
        </w:rPr>
        <w:t xml:space="preserve">. With these codes in hand, I did research on Athena and finally selected concepts on Atlas with resulting codes. </w:t>
      </w:r>
      <w:r w:rsidR="0031555B">
        <w:rPr>
          <w:rFonts w:ascii="Arial" w:hAnsi="Arial" w:cs="Arial"/>
          <w:bCs/>
        </w:rPr>
        <w:t xml:space="preserve">For concepts in “cancer” set, I sought on Atlas with the key words </w:t>
      </w:r>
      <w:r w:rsidR="0031555B">
        <w:rPr>
          <w:rFonts w:ascii="Arial" w:hAnsi="Arial" w:cs="Arial"/>
          <w:bCs/>
          <w:noProof/>
        </w:rPr>
        <w:t>“cancer”, “tumor”, “maglinancy” and “carcinoma”, then selected conditions with satisfying number of records.</w:t>
      </w:r>
      <w:r w:rsidR="0031555B">
        <w:rPr>
          <w:rFonts w:ascii="Arial" w:hAnsi="Arial" w:cs="Arial"/>
          <w:bCs/>
          <w:noProof/>
        </w:rPr>
        <w:t xml:space="preserve"> </w:t>
      </w:r>
    </w:p>
    <w:p w14:paraId="38BFE42D" w14:textId="5839F901" w:rsidR="00B13C42" w:rsidRDefault="00B13C42" w:rsidP="00A25707">
      <w:pPr>
        <w:spacing w:beforeLines="100" w:before="240" w:after="120"/>
        <w:rPr>
          <w:rFonts w:ascii="Arial" w:hAnsi="Arial" w:cs="Arial"/>
          <w:bCs/>
          <w:noProof/>
        </w:rPr>
      </w:pPr>
      <w:r>
        <w:rPr>
          <w:rFonts w:ascii="Arial" w:hAnsi="Arial" w:cs="Arial"/>
          <w:bCs/>
          <w:noProof/>
        </w:rPr>
        <w:t xml:space="preserve">Links to </w:t>
      </w:r>
      <w:r w:rsidR="00466BEA">
        <w:rPr>
          <w:rFonts w:ascii="Arial" w:hAnsi="Arial" w:cs="Arial"/>
          <w:bCs/>
          <w:noProof/>
        </w:rPr>
        <w:t>the</w:t>
      </w:r>
      <w:r>
        <w:rPr>
          <w:rFonts w:ascii="Arial" w:hAnsi="Arial" w:cs="Arial"/>
          <w:bCs/>
          <w:noProof/>
        </w:rPr>
        <w:t xml:space="preserve"> cohorts are as folllows:</w:t>
      </w:r>
    </w:p>
    <w:p w14:paraId="4CFC08E6" w14:textId="77777777" w:rsidR="00AB5F61" w:rsidRDefault="00B13C42" w:rsidP="00AB5F61">
      <w:pPr>
        <w:rPr>
          <w:rFonts w:ascii="Arial" w:hAnsi="Arial" w:cs="Arial"/>
          <w:bCs/>
        </w:rPr>
      </w:pPr>
      <w:r w:rsidRPr="00AB5F61">
        <w:rPr>
          <w:rFonts w:ascii="Arial" w:hAnsi="Arial" w:cs="Arial"/>
          <w:bCs/>
        </w:rPr>
        <w:t>[shuang379] hypertension patients with ACE inhibitors (Target)</w:t>
      </w:r>
      <w:r w:rsidR="00AB5F61">
        <w:rPr>
          <w:rFonts w:ascii="Arial" w:hAnsi="Arial" w:cs="Arial"/>
          <w:bCs/>
        </w:rPr>
        <w:t xml:space="preserve">: </w:t>
      </w:r>
    </w:p>
    <w:p w14:paraId="61DFE073" w14:textId="1BCCE778" w:rsidR="00B13C42" w:rsidRPr="00AB5F61" w:rsidRDefault="00AB5F61" w:rsidP="00AB5F61">
      <w:pPr>
        <w:rPr>
          <w:rFonts w:ascii="Arial" w:hAnsi="Arial" w:cs="Arial"/>
          <w:bCs/>
        </w:rPr>
      </w:pPr>
      <w:hyperlink r:id="rId9" w:history="1">
        <w:r w:rsidRPr="00B5500A">
          <w:rPr>
            <w:rStyle w:val="Hyperlink"/>
            <w:rFonts w:ascii="Arial" w:hAnsi="Arial" w:cs="Arial"/>
            <w:bCs/>
          </w:rPr>
          <w:t>http://gt-health-analytics-1.us-east-1.elasticbeanstalk.com/#/cohortdefinition/632</w:t>
        </w:r>
      </w:hyperlink>
      <w:r w:rsidR="00B13C42" w:rsidRPr="00AB5F61">
        <w:rPr>
          <w:rStyle w:val="Hyperlink"/>
          <w:rFonts w:ascii="Arial" w:hAnsi="Arial" w:cs="Arial"/>
          <w:bCs/>
        </w:rPr>
        <w:t xml:space="preserve"> </w:t>
      </w:r>
    </w:p>
    <w:p w14:paraId="7678F7C3" w14:textId="77777777" w:rsidR="00AB5F61" w:rsidRDefault="00B13C42" w:rsidP="00AB5F61">
      <w:pPr>
        <w:rPr>
          <w:rFonts w:ascii="Arial" w:hAnsi="Arial" w:cs="Arial"/>
          <w:bCs/>
        </w:rPr>
      </w:pPr>
      <w:r w:rsidRPr="00AB5F61">
        <w:rPr>
          <w:rFonts w:ascii="Arial" w:hAnsi="Arial" w:cs="Arial"/>
          <w:bCs/>
        </w:rPr>
        <w:t>[shuang379] hypertension patients with ARBs (Comparator)</w:t>
      </w:r>
      <w:r w:rsidR="00AB5F61">
        <w:rPr>
          <w:rFonts w:ascii="Arial" w:hAnsi="Arial" w:cs="Arial"/>
          <w:bCs/>
        </w:rPr>
        <w:t xml:space="preserve">: </w:t>
      </w:r>
    </w:p>
    <w:p w14:paraId="6F424984" w14:textId="5D601244" w:rsidR="00B13C42" w:rsidRPr="00AB5F61" w:rsidRDefault="00AB5F61" w:rsidP="00AB5F61">
      <w:pPr>
        <w:rPr>
          <w:rFonts w:ascii="Arial" w:hAnsi="Arial" w:cs="Arial"/>
          <w:bCs/>
        </w:rPr>
      </w:pPr>
      <w:hyperlink r:id="rId10" w:history="1">
        <w:r w:rsidRPr="00B5500A">
          <w:rPr>
            <w:rStyle w:val="Hyperlink"/>
            <w:rFonts w:ascii="Arial" w:hAnsi="Arial" w:cs="Arial"/>
            <w:bCs/>
          </w:rPr>
          <w:t>http://gt-health-analytics-1.us-east-1.elasticbeanstalk.com/#/cohortdefinition/633</w:t>
        </w:r>
      </w:hyperlink>
    </w:p>
    <w:p w14:paraId="0D3B0190" w14:textId="77777777" w:rsidR="00AB5F61" w:rsidRDefault="00B13C42" w:rsidP="00AB5F61">
      <w:pPr>
        <w:rPr>
          <w:rFonts w:ascii="Arial" w:hAnsi="Arial" w:cs="Arial"/>
          <w:bCs/>
        </w:rPr>
      </w:pPr>
      <w:r w:rsidRPr="00AB5F61">
        <w:rPr>
          <w:rFonts w:ascii="Arial" w:hAnsi="Arial" w:cs="Arial"/>
          <w:bCs/>
        </w:rPr>
        <w:t>[shuang379] hypertension patients with cancer (Outcome)</w:t>
      </w:r>
      <w:r w:rsidR="00AB5F61">
        <w:rPr>
          <w:rFonts w:ascii="Arial" w:hAnsi="Arial" w:cs="Arial"/>
          <w:bCs/>
        </w:rPr>
        <w:t xml:space="preserve">: </w:t>
      </w:r>
    </w:p>
    <w:p w14:paraId="23E5FDE5" w14:textId="63E3510F" w:rsidR="001F2BA8" w:rsidRPr="00AB5F61" w:rsidRDefault="00AB5F61" w:rsidP="00AB5F61">
      <w:pPr>
        <w:rPr>
          <w:rFonts w:ascii="Arial" w:hAnsi="Arial" w:cs="Arial"/>
          <w:bCs/>
        </w:rPr>
      </w:pPr>
      <w:hyperlink r:id="rId11" w:history="1">
        <w:r w:rsidRPr="00B5500A">
          <w:rPr>
            <w:rStyle w:val="Hyperlink"/>
            <w:rFonts w:ascii="Arial" w:hAnsi="Arial" w:cs="Arial"/>
            <w:bCs/>
          </w:rPr>
          <w:t>http://gt-health-analytics-1.us-east-1.elasticbeanstalk.com/#/cohortdefinition/634</w:t>
        </w:r>
      </w:hyperlink>
    </w:p>
    <w:p w14:paraId="6E65B127" w14:textId="32F8A63E" w:rsidR="000D528E" w:rsidRDefault="000D528E" w:rsidP="00F468CE">
      <w:pPr>
        <w:spacing w:beforeLines="100" w:before="240" w:after="20"/>
        <w:rPr>
          <w:rFonts w:ascii="Arial" w:hAnsi="Arial" w:cs="Arial"/>
          <w:bCs/>
          <w:i/>
          <w:iCs/>
        </w:rPr>
      </w:pPr>
      <w:r w:rsidRPr="00F468CE">
        <w:rPr>
          <w:rFonts w:ascii="Arial" w:hAnsi="Arial" w:cs="Arial"/>
          <w:bCs/>
          <w:i/>
          <w:iCs/>
        </w:rPr>
        <w:t>Characterization and Incidence Rates</w:t>
      </w:r>
      <w:r w:rsidR="00F468CE">
        <w:rPr>
          <w:rFonts w:ascii="Arial" w:hAnsi="Arial" w:cs="Arial"/>
          <w:bCs/>
          <w:i/>
          <w:iCs/>
        </w:rPr>
        <w:t xml:space="preserve"> with Atlas</w:t>
      </w:r>
    </w:p>
    <w:p w14:paraId="080E5C0A" w14:textId="546E8D45" w:rsidR="00FA0DBD" w:rsidRDefault="00FA0DBD" w:rsidP="00F468CE">
      <w:pPr>
        <w:spacing w:beforeLines="100" w:before="240" w:after="20"/>
        <w:rPr>
          <w:rFonts w:ascii="Arial" w:hAnsi="Arial" w:cs="Arial"/>
          <w:bCs/>
        </w:rPr>
      </w:pPr>
      <w:r w:rsidRPr="00FA0DBD">
        <w:rPr>
          <w:rFonts w:ascii="Arial" w:hAnsi="Arial" w:cs="Arial"/>
          <w:bCs/>
        </w:rPr>
        <w:t xml:space="preserve">Cohort </w:t>
      </w:r>
      <w:r>
        <w:rPr>
          <w:rFonts w:ascii="Arial" w:hAnsi="Arial" w:cs="Arial"/>
          <w:bCs/>
        </w:rPr>
        <w:t xml:space="preserve">characterization was performed with Atlas. </w:t>
      </w:r>
      <w:r w:rsidR="00012118">
        <w:rPr>
          <w:rFonts w:ascii="Arial" w:hAnsi="Arial" w:cs="Arial"/>
          <w:bCs/>
        </w:rPr>
        <w:t xml:space="preserve">A new characterization analysis was created in the Characterizations section at Atlas. Feature analyses were performed on condition era any time prior, demographic age group, demographics gender and drug era any time prior. </w:t>
      </w:r>
      <w:r w:rsidR="007B76F6">
        <w:rPr>
          <w:rFonts w:ascii="Arial" w:hAnsi="Arial" w:cs="Arial"/>
          <w:bCs/>
        </w:rPr>
        <w:t xml:space="preserve">The characterization was then executed against the CMSDESynPUF100k </w:t>
      </w:r>
      <w:r w:rsidR="00715ACE">
        <w:rPr>
          <w:rFonts w:ascii="Arial" w:hAnsi="Arial" w:cs="Arial"/>
          <w:bCs/>
        </w:rPr>
        <w:t xml:space="preserve">and </w:t>
      </w:r>
      <w:r w:rsidR="00715ACE" w:rsidRPr="00AB4F2C">
        <w:rPr>
          <w:rFonts w:ascii="Arial" w:hAnsi="Arial" w:cs="Arial"/>
          <w:bCs/>
        </w:rPr>
        <w:t>CMSDESynPUF23m</w:t>
      </w:r>
      <w:r w:rsidR="00715ACE">
        <w:rPr>
          <w:rFonts w:ascii="Arial" w:hAnsi="Arial" w:cs="Arial"/>
          <w:bCs/>
        </w:rPr>
        <w:t xml:space="preserve"> </w:t>
      </w:r>
      <w:r w:rsidR="007B76F6">
        <w:rPr>
          <w:rFonts w:ascii="Arial" w:hAnsi="Arial" w:cs="Arial"/>
          <w:bCs/>
        </w:rPr>
        <w:t>dataset</w:t>
      </w:r>
      <w:r w:rsidR="00715ACE">
        <w:rPr>
          <w:rFonts w:ascii="Arial" w:hAnsi="Arial" w:cs="Arial"/>
          <w:bCs/>
        </w:rPr>
        <w:t>s</w:t>
      </w:r>
      <w:r w:rsidR="007B76F6">
        <w:rPr>
          <w:rFonts w:ascii="Arial" w:hAnsi="Arial" w:cs="Arial"/>
          <w:bCs/>
        </w:rPr>
        <w:t xml:space="preserve">. </w:t>
      </w:r>
    </w:p>
    <w:p w14:paraId="3AF4243D" w14:textId="61227D2A" w:rsidR="00624022" w:rsidRPr="00FA0DBD" w:rsidRDefault="00B12D18" w:rsidP="00F468CE">
      <w:pPr>
        <w:spacing w:beforeLines="100" w:before="240" w:after="20"/>
        <w:rPr>
          <w:rFonts w:ascii="Arial" w:hAnsi="Arial" w:cs="Arial"/>
          <w:bCs/>
        </w:rPr>
      </w:pPr>
      <w:r>
        <w:rPr>
          <w:rFonts w:ascii="Arial" w:hAnsi="Arial" w:cs="Arial"/>
          <w:bCs/>
        </w:rPr>
        <w:t xml:space="preserve">The incidence rate was calculated as the ratio of persons in the target/comparator cohort who experienced the outcome cohort during the time at risk period. </w:t>
      </w:r>
      <w:r w:rsidR="00542829">
        <w:rPr>
          <w:rFonts w:ascii="Arial" w:hAnsi="Arial" w:cs="Arial"/>
          <w:bCs/>
        </w:rPr>
        <w:t xml:space="preserve">A new incidence analysis was created in the Incidence Rates section at Atlas. </w:t>
      </w:r>
      <w:r w:rsidR="00045DB3">
        <w:rPr>
          <w:rFonts w:ascii="Arial" w:hAnsi="Arial" w:cs="Arial"/>
          <w:bCs/>
        </w:rPr>
        <w:t xml:space="preserve">The start of the time at risk was defined as 1 day after cohort start for the target cohort and the end was defined as the cohort end date. </w:t>
      </w:r>
      <w:r w:rsidR="00E84BCE">
        <w:rPr>
          <w:rFonts w:ascii="Arial" w:hAnsi="Arial" w:cs="Arial"/>
          <w:bCs/>
        </w:rPr>
        <w:t xml:space="preserve">The analysis was then executed against </w:t>
      </w:r>
      <w:r w:rsidR="00E84BCE">
        <w:rPr>
          <w:rFonts w:ascii="Arial" w:hAnsi="Arial" w:cs="Arial"/>
          <w:bCs/>
        </w:rPr>
        <w:t>the CMSDESynPUF100k dataset</w:t>
      </w:r>
      <w:r w:rsidR="00E21E1F" w:rsidRPr="00E21E1F">
        <w:rPr>
          <w:rFonts w:ascii="Arial" w:hAnsi="Arial" w:cs="Arial"/>
          <w:bCs/>
        </w:rPr>
        <w:t xml:space="preserve"> </w:t>
      </w:r>
      <w:r w:rsidR="00E21E1F">
        <w:rPr>
          <w:rFonts w:ascii="Arial" w:hAnsi="Arial" w:cs="Arial"/>
          <w:bCs/>
        </w:rPr>
        <w:t xml:space="preserve">and </w:t>
      </w:r>
      <w:r w:rsidR="00E21E1F" w:rsidRPr="00AB4F2C">
        <w:rPr>
          <w:rFonts w:ascii="Arial" w:hAnsi="Arial" w:cs="Arial"/>
          <w:bCs/>
        </w:rPr>
        <w:t>CMSDESynPUF23m</w:t>
      </w:r>
      <w:r w:rsidR="00E21E1F">
        <w:rPr>
          <w:rFonts w:ascii="Arial" w:hAnsi="Arial" w:cs="Arial"/>
          <w:bCs/>
        </w:rPr>
        <w:t xml:space="preserve"> datasets</w:t>
      </w:r>
      <w:r w:rsidR="00E84BCE">
        <w:rPr>
          <w:rFonts w:ascii="Arial" w:hAnsi="Arial" w:cs="Arial"/>
          <w:bCs/>
        </w:rPr>
        <w:t>.</w:t>
      </w:r>
    </w:p>
    <w:p w14:paraId="24E5E842" w14:textId="5F844403" w:rsidR="00F468CE" w:rsidRDefault="00F468CE" w:rsidP="00F468CE">
      <w:pPr>
        <w:spacing w:beforeLines="100" w:before="240" w:after="20"/>
        <w:rPr>
          <w:rFonts w:ascii="Arial" w:hAnsi="Arial" w:cs="Arial"/>
          <w:bCs/>
          <w:i/>
          <w:iCs/>
        </w:rPr>
      </w:pPr>
      <w:r>
        <w:rPr>
          <w:rFonts w:ascii="Arial" w:hAnsi="Arial" w:cs="Arial"/>
          <w:bCs/>
          <w:i/>
          <w:iCs/>
        </w:rPr>
        <w:t>Analysis with R p</w:t>
      </w:r>
      <w:r w:rsidR="00B23C09">
        <w:rPr>
          <w:rFonts w:ascii="Arial" w:hAnsi="Arial" w:cs="Arial"/>
          <w:bCs/>
          <w:i/>
          <w:iCs/>
        </w:rPr>
        <w:t>ackage</w:t>
      </w:r>
      <w:r w:rsidR="00E05D25">
        <w:rPr>
          <w:rFonts w:ascii="Arial" w:hAnsi="Arial" w:cs="Arial"/>
          <w:bCs/>
          <w:i/>
          <w:iCs/>
        </w:rPr>
        <w:t xml:space="preserve"> (Stretch)</w:t>
      </w:r>
    </w:p>
    <w:p w14:paraId="70322019" w14:textId="671A16AF" w:rsidR="007B4E9F" w:rsidRPr="00244725" w:rsidRDefault="00B240EB" w:rsidP="00F468CE">
      <w:pPr>
        <w:spacing w:beforeLines="100" w:before="240" w:after="20"/>
        <w:rPr>
          <w:rFonts w:ascii="Arial" w:hAnsi="Arial" w:cs="Arial"/>
          <w:bCs/>
        </w:rPr>
      </w:pPr>
      <w:r w:rsidRPr="00244725">
        <w:rPr>
          <w:rFonts w:ascii="Arial" w:hAnsi="Arial" w:cs="Arial"/>
          <w:bCs/>
        </w:rPr>
        <w:t>The cohort study was also conducted using the open-source OHDSI CohortMethod R package</w:t>
      </w:r>
      <w:r w:rsidR="007178DC" w:rsidRPr="00244725">
        <w:rPr>
          <w:rFonts w:ascii="Arial" w:hAnsi="Arial" w:cs="Arial"/>
          <w:bCs/>
        </w:rPr>
        <w:t xml:space="preserve"> </w:t>
      </w:r>
      <w:r w:rsidR="00B15464">
        <w:rPr>
          <w:rFonts w:ascii="Arial" w:hAnsi="Arial" w:cs="Arial"/>
          <w:bCs/>
        </w:rPr>
        <w:fldChar w:fldCharType="begin" w:fldLock="1"/>
      </w:r>
      <w:r w:rsidR="009A6005">
        <w:rPr>
          <w:rFonts w:ascii="Arial" w:hAnsi="Arial" w:cs="Arial"/>
          <w:bCs/>
        </w:rPr>
        <w:instrText>ADDIN CSL_CITATION {"citationItems":[{"id":"ITEM-1","itemData":{"URL":"https://github.com/OHDSI/CohortMethod","accessed":{"date-parts":[["2020","3","6"]]},"id":"ITEM-1","issued":{"date-parts":[["0"]]},"title":"OHDSI/CohortMethod: An R package for performing new-user cohort studies in an observational database in the OMOP Common Data Model.","type":"webpage"},"uris":["http://www.mendeley.com/documents/?uuid=238824aa-4b93-38ea-81dd-16f9da35e44b"]}],"mendeley":{"formattedCitation":"(“OHDSI/CohortMethod: An R package for performing new-user cohort studies in an observational database in the OMOP Common Data Model.,” n.d.)","plainTextFormattedCitation":"(“OHDSI/CohortMethod: An R package for performing new-user cohort studies in an observational database in the OMOP Common Data Model.,” n.d.)","previouslyFormattedCitation":"(“OHDSI/CohortMethod: An R package for performing new-user cohort studies in an observational database in the OMOP Common Data Model.,” n.d.)"},"properties":{"noteIndex":0},"schema":"https://github.com/citation-style-language/schema/raw/master/csl-citation.json"}</w:instrText>
      </w:r>
      <w:r w:rsidR="00B15464">
        <w:rPr>
          <w:rFonts w:ascii="Arial" w:hAnsi="Arial" w:cs="Arial"/>
          <w:bCs/>
        </w:rPr>
        <w:fldChar w:fldCharType="separate"/>
      </w:r>
      <w:r w:rsidR="00B15464" w:rsidRPr="00B15464">
        <w:rPr>
          <w:rFonts w:ascii="Arial" w:hAnsi="Arial" w:cs="Arial"/>
          <w:bCs/>
          <w:noProof/>
        </w:rPr>
        <w:t>(“OHDSI/CohortMethod: An R package for performing new-user cohort studies in an observational database in the OMOP Common Data Model.,” n.d.)</w:t>
      </w:r>
      <w:r w:rsidR="00B15464">
        <w:rPr>
          <w:rFonts w:ascii="Arial" w:hAnsi="Arial" w:cs="Arial"/>
          <w:bCs/>
        </w:rPr>
        <w:fldChar w:fldCharType="end"/>
      </w:r>
      <w:r w:rsidR="00B15464">
        <w:rPr>
          <w:rFonts w:ascii="Arial" w:hAnsi="Arial" w:cs="Arial"/>
          <w:bCs/>
        </w:rPr>
        <w:t xml:space="preserve"> </w:t>
      </w:r>
      <w:r w:rsidR="007178DC" w:rsidRPr="00244725">
        <w:rPr>
          <w:rFonts w:ascii="Arial" w:hAnsi="Arial" w:cs="Arial"/>
          <w:bCs/>
        </w:rPr>
        <w:t xml:space="preserve">against </w:t>
      </w:r>
      <w:r w:rsidR="007178DC" w:rsidRPr="00244725">
        <w:rPr>
          <w:rFonts w:ascii="Arial" w:hAnsi="Arial" w:cs="Arial"/>
          <w:bCs/>
        </w:rPr>
        <w:t>CMSDESynPUF100k</w:t>
      </w:r>
      <w:r w:rsidR="007178DC" w:rsidRPr="00244725">
        <w:rPr>
          <w:rFonts w:ascii="Arial" w:hAnsi="Arial" w:cs="Arial"/>
          <w:bCs/>
        </w:rPr>
        <w:t xml:space="preserve"> dataset</w:t>
      </w:r>
      <w:r w:rsidR="00B21B16" w:rsidRPr="00244725">
        <w:rPr>
          <w:rFonts w:ascii="Arial" w:hAnsi="Arial" w:cs="Arial"/>
          <w:bCs/>
        </w:rPr>
        <w:t xml:space="preserve">. Propensity score was used to </w:t>
      </w:r>
      <w:r w:rsidR="009A1E72">
        <w:rPr>
          <w:rFonts w:ascii="Arial" w:hAnsi="Arial" w:cs="Arial"/>
          <w:bCs/>
        </w:rPr>
        <w:t xml:space="preserve">balance between the target and comparator cohorts. </w:t>
      </w:r>
      <w:r w:rsidR="00442F50">
        <w:rPr>
          <w:rFonts w:ascii="Arial" w:hAnsi="Arial" w:cs="Arial"/>
          <w:bCs/>
        </w:rPr>
        <w:t xml:space="preserve">An expansive propensity score model, including all available covariates, was used and propensity score adjustment was performed. </w:t>
      </w:r>
      <w:r w:rsidR="00D46FB4">
        <w:rPr>
          <w:rFonts w:ascii="Arial" w:hAnsi="Arial" w:cs="Arial"/>
          <w:bCs/>
        </w:rPr>
        <w:t xml:space="preserve">Results are presented with hazard rate, Kaplan-Meier curve, incidence rates, time at risk distribution and so forth. </w:t>
      </w:r>
      <w:r w:rsidR="00B21B16" w:rsidRPr="00244725">
        <w:rPr>
          <w:rFonts w:ascii="Arial" w:hAnsi="Arial" w:cs="Arial"/>
          <w:bCs/>
        </w:rPr>
        <w:t xml:space="preserve"> </w:t>
      </w:r>
    </w:p>
    <w:p w14:paraId="71F576D2" w14:textId="18570BB2" w:rsidR="006C7A64" w:rsidRDefault="006C7A64" w:rsidP="00E2271F">
      <w:pPr>
        <w:pStyle w:val="Header4"/>
        <w:rPr>
          <w:u w:val="none"/>
        </w:rPr>
      </w:pPr>
      <w:r>
        <w:rPr>
          <w:u w:val="none"/>
        </w:rPr>
        <w:t>Results</w:t>
      </w:r>
    </w:p>
    <w:p w14:paraId="5E685A58" w14:textId="2ABA07DF" w:rsidR="00332203" w:rsidRDefault="00332203" w:rsidP="00332203">
      <w:pPr>
        <w:spacing w:beforeLines="100" w:before="240" w:after="20"/>
        <w:rPr>
          <w:rFonts w:ascii="Arial" w:hAnsi="Arial" w:cs="Arial"/>
          <w:bCs/>
          <w:i/>
          <w:iCs/>
        </w:rPr>
      </w:pPr>
      <w:r w:rsidRPr="00332203">
        <w:rPr>
          <w:rFonts w:ascii="Arial" w:hAnsi="Arial" w:cs="Arial"/>
          <w:bCs/>
          <w:i/>
          <w:iCs/>
        </w:rPr>
        <w:t xml:space="preserve">Population </w:t>
      </w:r>
      <w:r w:rsidR="00D5709D">
        <w:rPr>
          <w:rFonts w:ascii="Arial" w:hAnsi="Arial" w:cs="Arial"/>
          <w:bCs/>
          <w:i/>
          <w:iCs/>
        </w:rPr>
        <w:t>C</w:t>
      </w:r>
      <w:r w:rsidRPr="00332203">
        <w:rPr>
          <w:rFonts w:ascii="Arial" w:hAnsi="Arial" w:cs="Arial"/>
          <w:bCs/>
          <w:i/>
          <w:iCs/>
        </w:rPr>
        <w:t>haracteristics</w:t>
      </w:r>
      <w:r w:rsidR="00E9230F">
        <w:rPr>
          <w:rFonts w:ascii="Arial" w:hAnsi="Arial" w:cs="Arial"/>
          <w:bCs/>
          <w:i/>
          <w:iCs/>
        </w:rPr>
        <w:t xml:space="preserve"> with Atlas</w:t>
      </w:r>
    </w:p>
    <w:p w14:paraId="72D2972B" w14:textId="1AD6BF01" w:rsidR="001C66C7" w:rsidRPr="000C0090" w:rsidRDefault="001C66C7" w:rsidP="000C0090">
      <w:pPr>
        <w:spacing w:beforeLines="100" w:before="240" w:after="20"/>
        <w:rPr>
          <w:rFonts w:ascii="Arial" w:hAnsi="Arial" w:cs="Arial"/>
          <w:bCs/>
        </w:rPr>
      </w:pPr>
      <w:r>
        <w:rPr>
          <w:rFonts w:ascii="Arial" w:hAnsi="Arial" w:cs="Arial"/>
          <w:bCs/>
        </w:rPr>
        <w:t>The result of</w:t>
      </w:r>
      <w:r w:rsidR="007D08E6">
        <w:rPr>
          <w:rFonts w:ascii="Arial" w:hAnsi="Arial" w:cs="Arial"/>
          <w:bCs/>
        </w:rPr>
        <w:t xml:space="preserve"> cohort </w:t>
      </w:r>
      <w:r w:rsidR="005427AB">
        <w:rPr>
          <w:rFonts w:ascii="Arial" w:hAnsi="Arial" w:cs="Arial"/>
          <w:bCs/>
        </w:rPr>
        <w:t>generation</w:t>
      </w:r>
      <w:r w:rsidR="007D08E6">
        <w:rPr>
          <w:rFonts w:ascii="Arial" w:hAnsi="Arial" w:cs="Arial"/>
          <w:bCs/>
        </w:rPr>
        <w:t xml:space="preserve"> performed with Atlas</w:t>
      </w:r>
      <w:r>
        <w:rPr>
          <w:rFonts w:ascii="Arial" w:hAnsi="Arial" w:cs="Arial"/>
          <w:bCs/>
        </w:rPr>
        <w:t xml:space="preserve"> is listed in Table 1. </w:t>
      </w:r>
      <w:r w:rsidR="00556AD9">
        <w:rPr>
          <w:rFonts w:ascii="Arial" w:hAnsi="Arial" w:cs="Arial"/>
          <w:bCs/>
        </w:rPr>
        <w:t>Intuitively, the number of patients in outcome cohort should be smaller than the numbers of patients in either target or comparator cohort</w:t>
      </w:r>
      <w:r w:rsidR="0040490C">
        <w:rPr>
          <w:rFonts w:ascii="Arial" w:hAnsi="Arial" w:cs="Arial"/>
          <w:bCs/>
        </w:rPr>
        <w:t xml:space="preserve">, which </w:t>
      </w:r>
      <w:r w:rsidR="00770FB0">
        <w:rPr>
          <w:rFonts w:ascii="Arial" w:hAnsi="Arial" w:cs="Arial"/>
          <w:bCs/>
        </w:rPr>
        <w:t>matches our results.</w:t>
      </w:r>
      <w:r w:rsidR="00F743E9">
        <w:rPr>
          <w:rFonts w:ascii="Arial" w:hAnsi="Arial" w:cs="Arial"/>
          <w:bCs/>
        </w:rPr>
        <w:t xml:space="preserve"> </w:t>
      </w:r>
      <w:r w:rsidR="00EB3075">
        <w:rPr>
          <w:rFonts w:ascii="Arial" w:hAnsi="Arial" w:cs="Arial"/>
          <w:bCs/>
        </w:rPr>
        <w:t xml:space="preserve">Table 2 </w:t>
      </w:r>
      <w:r w:rsidR="00703FA9">
        <w:rPr>
          <w:rFonts w:ascii="Arial" w:hAnsi="Arial" w:cs="Arial"/>
          <w:bCs/>
        </w:rPr>
        <w:t xml:space="preserve">and table 3 </w:t>
      </w:r>
      <w:r w:rsidR="00EB3075">
        <w:rPr>
          <w:rFonts w:ascii="Arial" w:hAnsi="Arial" w:cs="Arial"/>
          <w:bCs/>
        </w:rPr>
        <w:t>list the characteristics of target and comparator cohorts</w:t>
      </w:r>
      <w:r w:rsidR="00703FA9">
        <w:rPr>
          <w:rFonts w:ascii="Arial" w:hAnsi="Arial" w:cs="Arial"/>
          <w:bCs/>
        </w:rPr>
        <w:t xml:space="preserve"> in </w:t>
      </w:r>
      <w:r w:rsidR="00703FA9" w:rsidRPr="00AB4F2C">
        <w:rPr>
          <w:rFonts w:ascii="Arial" w:hAnsi="Arial" w:cs="Arial"/>
          <w:bCs/>
        </w:rPr>
        <w:t>CMSDESynPUF100k</w:t>
      </w:r>
      <w:r w:rsidR="00703FA9">
        <w:rPr>
          <w:rFonts w:ascii="Arial" w:hAnsi="Arial" w:cs="Arial"/>
          <w:bCs/>
        </w:rPr>
        <w:t xml:space="preserve"> and </w:t>
      </w:r>
      <w:r w:rsidR="00703FA9" w:rsidRPr="00AB4F2C">
        <w:rPr>
          <w:rFonts w:ascii="Arial" w:hAnsi="Arial" w:cs="Arial"/>
          <w:bCs/>
        </w:rPr>
        <w:t>CMSDESynPUF23m</w:t>
      </w:r>
      <w:r w:rsidR="00703FA9">
        <w:rPr>
          <w:rFonts w:ascii="Arial" w:hAnsi="Arial" w:cs="Arial"/>
          <w:bCs/>
        </w:rPr>
        <w:t>, respectively</w:t>
      </w:r>
      <w:r w:rsidR="00EB3075">
        <w:rPr>
          <w:rFonts w:ascii="Arial" w:hAnsi="Arial" w:cs="Arial"/>
          <w:bCs/>
        </w:rPr>
        <w:t xml:space="preserve">. </w:t>
      </w:r>
      <w:r w:rsidR="00EA6484">
        <w:rPr>
          <w:rFonts w:ascii="Arial" w:hAnsi="Arial" w:cs="Arial"/>
          <w:bCs/>
        </w:rPr>
        <w:t>We can see</w:t>
      </w:r>
      <w:r w:rsidR="00E70A24">
        <w:rPr>
          <w:rFonts w:ascii="Arial" w:hAnsi="Arial" w:cs="Arial"/>
          <w:bCs/>
        </w:rPr>
        <w:t xml:space="preserve">, </w:t>
      </w:r>
      <w:r w:rsidR="00F56FAE">
        <w:rPr>
          <w:rFonts w:ascii="Arial" w:hAnsi="Arial" w:cs="Arial"/>
          <w:bCs/>
        </w:rPr>
        <w:t>in</w:t>
      </w:r>
      <w:r w:rsidR="00E70A24">
        <w:rPr>
          <w:rFonts w:ascii="Arial" w:hAnsi="Arial" w:cs="Arial"/>
          <w:bCs/>
        </w:rPr>
        <w:t xml:space="preserve"> both datasets,</w:t>
      </w:r>
      <w:r w:rsidR="00EA6484">
        <w:rPr>
          <w:rFonts w:ascii="Arial" w:hAnsi="Arial" w:cs="Arial"/>
          <w:bCs/>
        </w:rPr>
        <w:t xml:space="preserve"> the two cohorts are comparable to each other, with similar ratios of type 2 </w:t>
      </w:r>
      <w:r w:rsidR="00EA6484">
        <w:rPr>
          <w:rFonts w:ascii="Arial" w:hAnsi="Arial" w:cs="Arial"/>
          <w:bCs/>
        </w:rPr>
        <w:lastRenderedPageBreak/>
        <w:t xml:space="preserve">diabetes mellitus, female, atrial fibrillation and so forth. </w:t>
      </w:r>
      <w:r w:rsidR="000C0090">
        <w:rPr>
          <w:rFonts w:ascii="Arial" w:hAnsi="Arial" w:cs="Arial"/>
          <w:bCs/>
        </w:rPr>
        <w:t xml:space="preserve">This similarity </w:t>
      </w:r>
      <w:r w:rsidR="001C7C30">
        <w:rPr>
          <w:rFonts w:ascii="Arial" w:hAnsi="Arial" w:cs="Arial"/>
          <w:bCs/>
        </w:rPr>
        <w:t xml:space="preserve">ensures the </w:t>
      </w:r>
      <w:r w:rsidR="00E1712A">
        <w:rPr>
          <w:rFonts w:ascii="Arial" w:hAnsi="Arial" w:cs="Arial"/>
          <w:bCs/>
        </w:rPr>
        <w:t>rationality of the study.</w:t>
      </w:r>
    </w:p>
    <w:p w14:paraId="3EF02208" w14:textId="426257B4" w:rsidR="00B9742F" w:rsidRDefault="00B9742F" w:rsidP="00B9742F">
      <w:pPr>
        <w:spacing w:beforeLines="100" w:before="240" w:after="20"/>
        <w:jc w:val="center"/>
        <w:rPr>
          <w:rFonts w:ascii="Arial" w:hAnsi="Arial" w:cs="Arial"/>
          <w:bCs/>
          <w:noProof/>
        </w:rPr>
      </w:pPr>
      <w:r>
        <w:rPr>
          <w:rFonts w:ascii="Arial" w:hAnsi="Arial" w:cs="Arial"/>
          <w:bCs/>
          <w:noProof/>
        </w:rPr>
        <w:drawing>
          <wp:inline distT="0" distB="0" distL="0" distR="0" wp14:anchorId="13FE9E1A" wp14:editId="433D7514">
            <wp:extent cx="4754880" cy="92418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4880" cy="924185"/>
                    </a:xfrm>
                    <a:prstGeom prst="rect">
                      <a:avLst/>
                    </a:prstGeom>
                    <a:noFill/>
                  </pic:spPr>
                </pic:pic>
              </a:graphicData>
            </a:graphic>
          </wp:inline>
        </w:drawing>
      </w:r>
    </w:p>
    <w:p w14:paraId="1242F942" w14:textId="45DF9945" w:rsidR="007D08E6" w:rsidRDefault="00C709BD" w:rsidP="00332203">
      <w:pPr>
        <w:spacing w:beforeLines="100" w:before="240" w:after="20"/>
        <w:rPr>
          <w:rFonts w:ascii="Arial" w:hAnsi="Arial" w:cs="Arial"/>
          <w:bCs/>
        </w:rPr>
      </w:pPr>
      <w:r>
        <w:rPr>
          <w:rFonts w:ascii="Arial" w:hAnsi="Arial" w:cs="Arial"/>
          <w:bCs/>
          <w:noProof/>
        </w:rPr>
        <w:drawing>
          <wp:inline distT="0" distB="0" distL="0" distR="0" wp14:anchorId="1D36533D" wp14:editId="75F58431">
            <wp:extent cx="5669280" cy="3060629"/>
            <wp:effectExtent l="0" t="0" r="762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9280" cy="3060629"/>
                    </a:xfrm>
                    <a:prstGeom prst="rect">
                      <a:avLst/>
                    </a:prstGeom>
                    <a:noFill/>
                  </pic:spPr>
                </pic:pic>
              </a:graphicData>
            </a:graphic>
          </wp:inline>
        </w:drawing>
      </w:r>
    </w:p>
    <w:p w14:paraId="2E07B8F2" w14:textId="227AA8DD" w:rsidR="00E70A24" w:rsidRPr="007D08E6" w:rsidRDefault="00E70A24" w:rsidP="00332203">
      <w:pPr>
        <w:spacing w:beforeLines="100" w:before="240" w:after="20"/>
        <w:rPr>
          <w:rFonts w:ascii="Arial" w:hAnsi="Arial" w:cs="Arial"/>
          <w:bCs/>
        </w:rPr>
      </w:pPr>
      <w:r>
        <w:rPr>
          <w:rFonts w:ascii="Arial" w:hAnsi="Arial" w:cs="Arial"/>
          <w:bCs/>
          <w:noProof/>
        </w:rPr>
        <w:drawing>
          <wp:inline distT="0" distB="0" distL="0" distR="0" wp14:anchorId="4B9BAE44" wp14:editId="6473F80B">
            <wp:extent cx="5669280" cy="3050827"/>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9280" cy="3050827"/>
                    </a:xfrm>
                    <a:prstGeom prst="rect">
                      <a:avLst/>
                    </a:prstGeom>
                    <a:noFill/>
                  </pic:spPr>
                </pic:pic>
              </a:graphicData>
            </a:graphic>
          </wp:inline>
        </w:drawing>
      </w:r>
    </w:p>
    <w:p w14:paraId="705D558B" w14:textId="7F2265AE" w:rsidR="00D5709D" w:rsidRDefault="00D5709D" w:rsidP="00332203">
      <w:pPr>
        <w:spacing w:beforeLines="100" w:before="240" w:after="20"/>
        <w:rPr>
          <w:rFonts w:ascii="Arial" w:hAnsi="Arial" w:cs="Arial"/>
          <w:bCs/>
          <w:i/>
          <w:iCs/>
        </w:rPr>
      </w:pPr>
      <w:r>
        <w:rPr>
          <w:rFonts w:ascii="Arial" w:hAnsi="Arial" w:cs="Arial"/>
          <w:bCs/>
          <w:i/>
          <w:iCs/>
        </w:rPr>
        <w:t>Incidence Rates</w:t>
      </w:r>
      <w:r w:rsidR="00C95D2F">
        <w:rPr>
          <w:rFonts w:ascii="Arial" w:hAnsi="Arial" w:cs="Arial"/>
          <w:bCs/>
          <w:i/>
          <w:iCs/>
        </w:rPr>
        <w:t xml:space="preserve"> with Atlas</w:t>
      </w:r>
    </w:p>
    <w:p w14:paraId="680AED16" w14:textId="47CCAB96" w:rsidR="00FB7517" w:rsidRDefault="00703FA9" w:rsidP="00332203">
      <w:pPr>
        <w:spacing w:beforeLines="100" w:before="240" w:after="20"/>
        <w:rPr>
          <w:rFonts w:ascii="Arial" w:hAnsi="Arial" w:cs="Arial"/>
          <w:bCs/>
        </w:rPr>
      </w:pPr>
      <w:r>
        <w:rPr>
          <w:rFonts w:ascii="Arial" w:hAnsi="Arial" w:cs="Arial"/>
          <w:bCs/>
        </w:rPr>
        <w:t xml:space="preserve">According to the incidence analysis with Atlas, </w:t>
      </w:r>
      <w:r w:rsidR="00424B0F">
        <w:rPr>
          <w:rFonts w:ascii="Arial" w:hAnsi="Arial" w:cs="Arial"/>
          <w:bCs/>
        </w:rPr>
        <w:t>a</w:t>
      </w:r>
      <w:r w:rsidR="00424B0F">
        <w:rPr>
          <w:rFonts w:ascii="Arial" w:hAnsi="Arial" w:cs="Arial"/>
          <w:bCs/>
        </w:rPr>
        <w:t xml:space="preserve">mong patients exposed to ACE inhibitors, 130.43 out of 1,000 patients in the </w:t>
      </w:r>
      <w:r w:rsidR="00424B0F" w:rsidRPr="00AB4F2C">
        <w:rPr>
          <w:rFonts w:ascii="Arial" w:hAnsi="Arial" w:cs="Arial"/>
          <w:bCs/>
        </w:rPr>
        <w:t>CMSDESynPUF100k</w:t>
      </w:r>
      <w:r w:rsidR="00424B0F">
        <w:rPr>
          <w:rFonts w:ascii="Arial" w:hAnsi="Arial" w:cs="Arial"/>
          <w:bCs/>
        </w:rPr>
        <w:t xml:space="preserve"> dataset and 123.00 out of 1000 patients in the </w:t>
      </w:r>
      <w:r w:rsidR="00424B0F" w:rsidRPr="00AB4F2C">
        <w:rPr>
          <w:rFonts w:ascii="Arial" w:hAnsi="Arial" w:cs="Arial"/>
          <w:bCs/>
        </w:rPr>
        <w:t>CMSDESynPUF23m</w:t>
      </w:r>
      <w:r w:rsidR="00424B0F">
        <w:rPr>
          <w:rFonts w:ascii="Arial" w:hAnsi="Arial" w:cs="Arial"/>
          <w:bCs/>
        </w:rPr>
        <w:t xml:space="preserve"> dataset were diagnosed with </w:t>
      </w:r>
      <w:r w:rsidR="00424B0F">
        <w:rPr>
          <w:rFonts w:ascii="Arial" w:hAnsi="Arial" w:cs="Arial"/>
          <w:bCs/>
        </w:rPr>
        <w:lastRenderedPageBreak/>
        <w:t xml:space="preserve">cancer while incidence rates per thousand years are 75.09 and 70.04, respectively. Among patients exposed to ARBs, 155.44 out of 1000 in the </w:t>
      </w:r>
      <w:r w:rsidR="00424B0F" w:rsidRPr="00AB4F2C">
        <w:rPr>
          <w:rFonts w:ascii="Arial" w:hAnsi="Arial" w:cs="Arial"/>
          <w:bCs/>
        </w:rPr>
        <w:t>CMSDESynPUF100k</w:t>
      </w:r>
      <w:r w:rsidR="00424B0F">
        <w:rPr>
          <w:rFonts w:ascii="Arial" w:hAnsi="Arial" w:cs="Arial"/>
          <w:bCs/>
        </w:rPr>
        <w:t xml:space="preserve"> dataset and 152.01 out of 1000 patients in the </w:t>
      </w:r>
      <w:r w:rsidR="00424B0F" w:rsidRPr="00AB4F2C">
        <w:rPr>
          <w:rFonts w:ascii="Arial" w:hAnsi="Arial" w:cs="Arial"/>
          <w:bCs/>
        </w:rPr>
        <w:t>CMSDESynPUF23m</w:t>
      </w:r>
      <w:r w:rsidR="00424B0F">
        <w:rPr>
          <w:rFonts w:ascii="Arial" w:hAnsi="Arial" w:cs="Arial"/>
          <w:bCs/>
        </w:rPr>
        <w:t xml:space="preserve"> dataset were diagnosed with cancer while incidence rates per thousand years are 94.66 and 92.94, respectively.</w:t>
      </w:r>
      <w:r w:rsidR="005C41E9">
        <w:rPr>
          <w:rFonts w:ascii="Arial" w:hAnsi="Arial" w:cs="Arial"/>
          <w:bCs/>
        </w:rPr>
        <w:t xml:space="preserve"> These numbers are visualized in Figure 1. </w:t>
      </w:r>
      <w:r w:rsidR="00BA46A1">
        <w:rPr>
          <w:rFonts w:ascii="Arial" w:hAnsi="Arial" w:cs="Arial"/>
          <w:bCs/>
        </w:rPr>
        <w:t xml:space="preserve">We can see </w:t>
      </w:r>
      <w:r w:rsidR="00730813">
        <w:rPr>
          <w:rFonts w:ascii="Arial" w:hAnsi="Arial" w:cs="Arial"/>
          <w:bCs/>
        </w:rPr>
        <w:t xml:space="preserve">incidence of comparator cohort is higher than that of target cohort, in both datasets, regarding either proportion per 1k persons or rate per 1k years. </w:t>
      </w:r>
    </w:p>
    <w:p w14:paraId="3AEB6904" w14:textId="410DC6A9" w:rsidR="00D066B0" w:rsidRPr="00FB7517" w:rsidRDefault="00D066B0" w:rsidP="00D066B0">
      <w:pPr>
        <w:spacing w:beforeLines="100" w:before="240" w:after="20"/>
        <w:jc w:val="center"/>
        <w:rPr>
          <w:rFonts w:ascii="Arial" w:hAnsi="Arial" w:cs="Arial"/>
          <w:bCs/>
        </w:rPr>
      </w:pPr>
      <w:r>
        <w:rPr>
          <w:rFonts w:ascii="Arial" w:hAnsi="Arial" w:cs="Arial"/>
          <w:bCs/>
          <w:noProof/>
        </w:rPr>
        <w:drawing>
          <wp:inline distT="0" distB="0" distL="0" distR="0" wp14:anchorId="68B8BC10" wp14:editId="095378E3">
            <wp:extent cx="4572000" cy="2002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2002835"/>
                    </a:xfrm>
                    <a:prstGeom prst="rect">
                      <a:avLst/>
                    </a:prstGeom>
                    <a:noFill/>
                  </pic:spPr>
                </pic:pic>
              </a:graphicData>
            </a:graphic>
          </wp:inline>
        </w:drawing>
      </w:r>
    </w:p>
    <w:p w14:paraId="73639601" w14:textId="543C69DB" w:rsidR="00C95D2F" w:rsidRDefault="00C95D2F" w:rsidP="00332203">
      <w:pPr>
        <w:spacing w:beforeLines="100" w:before="240" w:after="20"/>
        <w:rPr>
          <w:rFonts w:ascii="Arial" w:hAnsi="Arial" w:cs="Arial"/>
          <w:bCs/>
          <w:i/>
          <w:iCs/>
        </w:rPr>
      </w:pPr>
      <w:r w:rsidRPr="00FB4F80">
        <w:rPr>
          <w:rFonts w:ascii="Arial" w:hAnsi="Arial" w:cs="Arial"/>
          <w:bCs/>
          <w:i/>
          <w:iCs/>
        </w:rPr>
        <w:t xml:space="preserve">Analysis </w:t>
      </w:r>
      <w:r w:rsidR="00BC558D" w:rsidRPr="00FB4F80">
        <w:rPr>
          <w:rFonts w:ascii="Arial" w:hAnsi="Arial" w:cs="Arial"/>
          <w:bCs/>
          <w:i/>
          <w:iCs/>
        </w:rPr>
        <w:t>R</w:t>
      </w:r>
      <w:r w:rsidRPr="00FB4F80">
        <w:rPr>
          <w:rFonts w:ascii="Arial" w:hAnsi="Arial" w:cs="Arial"/>
          <w:bCs/>
          <w:i/>
          <w:iCs/>
        </w:rPr>
        <w:t xml:space="preserve">esults </w:t>
      </w:r>
      <w:r w:rsidR="008C7D13" w:rsidRPr="00FB4F80">
        <w:rPr>
          <w:rFonts w:ascii="Arial" w:hAnsi="Arial" w:cs="Arial"/>
          <w:bCs/>
          <w:i/>
          <w:iCs/>
        </w:rPr>
        <w:t>with</w:t>
      </w:r>
      <w:r w:rsidRPr="00FB4F80">
        <w:rPr>
          <w:rFonts w:ascii="Arial" w:hAnsi="Arial" w:cs="Arial"/>
          <w:bCs/>
          <w:i/>
          <w:iCs/>
        </w:rPr>
        <w:t xml:space="preserve"> R package</w:t>
      </w:r>
      <w:r w:rsidR="00D1466D" w:rsidRPr="00FB4F80">
        <w:rPr>
          <w:rFonts w:ascii="Arial" w:hAnsi="Arial" w:cs="Arial"/>
          <w:bCs/>
          <w:i/>
          <w:iCs/>
        </w:rPr>
        <w:t xml:space="preserve"> (stretch)</w:t>
      </w:r>
    </w:p>
    <w:p w14:paraId="2CB5D100" w14:textId="48960C7A" w:rsidR="00303775" w:rsidRDefault="003A4E8C" w:rsidP="00332203">
      <w:pPr>
        <w:spacing w:beforeLines="100" w:before="240" w:after="20"/>
        <w:rPr>
          <w:rFonts w:ascii="Arial" w:hAnsi="Arial" w:cs="Arial"/>
          <w:bCs/>
        </w:rPr>
      </w:pPr>
      <w:r>
        <w:rPr>
          <w:rFonts w:ascii="Arial" w:hAnsi="Arial" w:cs="Arial"/>
          <w:bCs/>
        </w:rPr>
        <w:t xml:space="preserve">Estimation study analysis with R package was performed against </w:t>
      </w:r>
      <w:r w:rsidRPr="00AB4F2C">
        <w:rPr>
          <w:rFonts w:ascii="Arial" w:hAnsi="Arial" w:cs="Arial"/>
          <w:bCs/>
        </w:rPr>
        <w:t>CMSDESynPUF100k</w:t>
      </w:r>
      <w:r>
        <w:rPr>
          <w:rFonts w:ascii="Arial" w:hAnsi="Arial" w:cs="Arial"/>
          <w:bCs/>
        </w:rPr>
        <w:t xml:space="preserve">n dataset. </w:t>
      </w:r>
      <w:r w:rsidR="00684766">
        <w:rPr>
          <w:rFonts w:ascii="Arial" w:hAnsi="Arial" w:cs="Arial"/>
          <w:bCs/>
        </w:rPr>
        <w:t xml:space="preserve">Figure 2 diagrams the selection of study subjects from the dataset. The starting numbers of patients are consistent with what has been listed in Table 1. </w:t>
      </w:r>
      <w:r w:rsidR="00E26CFC">
        <w:rPr>
          <w:rFonts w:ascii="Arial" w:hAnsi="Arial" w:cs="Arial"/>
          <w:bCs/>
        </w:rPr>
        <w:t xml:space="preserve">Among these patients, 10 in target cohort and 30 in comparator cohort have prior diagnosed hypertension so they are filtered out. The final study populations are 3,358 for target cohort and 2,748 for comparator cohort. </w:t>
      </w:r>
    </w:p>
    <w:p w14:paraId="15B1E1DC" w14:textId="06FCAD5E" w:rsidR="00684766" w:rsidRDefault="004F62AC" w:rsidP="00684766">
      <w:pPr>
        <w:spacing w:beforeLines="100" w:before="240" w:after="20"/>
        <w:jc w:val="center"/>
        <w:rPr>
          <w:rFonts w:ascii="Arial" w:hAnsi="Arial" w:cs="Arial"/>
          <w:bCs/>
        </w:rPr>
      </w:pPr>
      <w:r>
        <w:rPr>
          <w:rFonts w:ascii="Arial" w:hAnsi="Arial" w:cs="Arial"/>
          <w:bCs/>
          <w:noProof/>
        </w:rPr>
        <w:drawing>
          <wp:inline distT="0" distB="0" distL="0" distR="0" wp14:anchorId="5E2E3770" wp14:editId="75B9DAA4">
            <wp:extent cx="4663440" cy="37359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a:extLst>
                        <a:ext uri="{28A0092B-C50C-407E-A947-70E740481C1C}">
                          <a14:useLocalDpi xmlns:a14="http://schemas.microsoft.com/office/drawing/2010/main" val="0"/>
                        </a:ext>
                      </a:extLst>
                    </a:blip>
                    <a:srcRect t="1800" b="1060"/>
                    <a:stretch/>
                  </pic:blipFill>
                  <pic:spPr bwMode="auto">
                    <a:xfrm>
                      <a:off x="0" y="0"/>
                      <a:ext cx="4663440" cy="3735903"/>
                    </a:xfrm>
                    <a:prstGeom prst="rect">
                      <a:avLst/>
                    </a:prstGeom>
                    <a:noFill/>
                    <a:ln>
                      <a:noFill/>
                    </a:ln>
                    <a:extLst>
                      <a:ext uri="{53640926-AAD7-44D8-BBD7-CCE9431645EC}">
                        <a14:shadowObscured xmlns:a14="http://schemas.microsoft.com/office/drawing/2010/main"/>
                      </a:ext>
                    </a:extLst>
                  </pic:spPr>
                </pic:pic>
              </a:graphicData>
            </a:graphic>
          </wp:inline>
        </w:drawing>
      </w:r>
    </w:p>
    <w:p w14:paraId="44861DF0" w14:textId="3A3F2A77" w:rsidR="007553C7" w:rsidRDefault="008D2233" w:rsidP="00AA7E2E">
      <w:pPr>
        <w:spacing w:beforeLines="100" w:before="240" w:after="20"/>
        <w:rPr>
          <w:rFonts w:ascii="Arial" w:hAnsi="Arial" w:cs="Arial"/>
          <w:bCs/>
        </w:rPr>
      </w:pPr>
      <w:r>
        <w:rPr>
          <w:rFonts w:ascii="Arial" w:hAnsi="Arial" w:cs="Arial"/>
          <w:bCs/>
        </w:rPr>
        <w:lastRenderedPageBreak/>
        <w:t>Table 4</w:t>
      </w:r>
      <w:r w:rsidR="00FF4583">
        <w:rPr>
          <w:rFonts w:ascii="Arial" w:hAnsi="Arial" w:cs="Arial"/>
          <w:bCs/>
        </w:rPr>
        <w:t xml:space="preserve"> </w:t>
      </w:r>
      <w:r w:rsidR="00370898">
        <w:rPr>
          <w:rFonts w:ascii="Arial" w:hAnsi="Arial" w:cs="Arial"/>
          <w:bCs/>
        </w:rPr>
        <w:t xml:space="preserve">lists </w:t>
      </w:r>
      <w:r w:rsidR="009F67A8">
        <w:rPr>
          <w:rFonts w:ascii="Arial" w:hAnsi="Arial" w:cs="Arial"/>
          <w:bCs/>
        </w:rPr>
        <w:t xml:space="preserve">part of all </w:t>
      </w:r>
      <w:r w:rsidR="00370898">
        <w:rPr>
          <w:rFonts w:ascii="Arial" w:hAnsi="Arial" w:cs="Arial"/>
          <w:bCs/>
        </w:rPr>
        <w:t>characteristics of target and comparator cohorts before and after propensity score adjustment. We can see these two group</w:t>
      </w:r>
      <w:r w:rsidR="00EB3E1B">
        <w:rPr>
          <w:rFonts w:ascii="Arial" w:hAnsi="Arial" w:cs="Arial"/>
          <w:bCs/>
        </w:rPr>
        <w:t xml:space="preserve">s are highly like each other. </w:t>
      </w:r>
      <w:r w:rsidR="00EB3E1B">
        <w:rPr>
          <w:rFonts w:ascii="Arial" w:hAnsi="Arial" w:cs="Arial"/>
          <w:bCs/>
        </w:rPr>
        <w:t>Figure 3 plots the preference score distributions</w:t>
      </w:r>
      <w:r w:rsidR="00EB3E1B">
        <w:rPr>
          <w:rFonts w:ascii="Arial" w:hAnsi="Arial" w:cs="Arial"/>
          <w:bCs/>
        </w:rPr>
        <w:t xml:space="preserve"> and visualizes the similarity</w:t>
      </w:r>
      <w:r w:rsidR="00EB3E1B">
        <w:rPr>
          <w:rFonts w:ascii="Arial" w:hAnsi="Arial" w:cs="Arial"/>
          <w:bCs/>
        </w:rPr>
        <w:t>. The high overlap between two populations indicates the high similarity of subjects in the two cohorts in terms of their predicted probability of taking one medication over the other.</w:t>
      </w:r>
      <w:r w:rsidR="00156944">
        <w:rPr>
          <w:rFonts w:ascii="Arial" w:hAnsi="Arial" w:cs="Arial"/>
          <w:bCs/>
        </w:rPr>
        <w:t xml:space="preserve"> Figure 4 plots Std. diff for all input features for the propensity score model. Generally, we consider Std. diff &lt; 0.1 as well adjusted. </w:t>
      </w:r>
      <w:r w:rsidR="00A879CD">
        <w:rPr>
          <w:rFonts w:ascii="Arial" w:hAnsi="Arial" w:cs="Arial"/>
          <w:bCs/>
        </w:rPr>
        <w:t>We can see from the plot</w:t>
      </w:r>
      <w:r w:rsidR="007C31FE">
        <w:rPr>
          <w:rFonts w:ascii="Arial" w:hAnsi="Arial" w:cs="Arial"/>
          <w:bCs/>
        </w:rPr>
        <w:t xml:space="preserve"> that</w:t>
      </w:r>
      <w:r w:rsidR="00A879CD">
        <w:rPr>
          <w:rFonts w:ascii="Arial" w:hAnsi="Arial" w:cs="Arial"/>
          <w:bCs/>
        </w:rPr>
        <w:t xml:space="preserve"> a lot of features have Std. diff &gt;0.1 before adjustment and </w:t>
      </w:r>
      <w:r w:rsidR="007E6C9A">
        <w:rPr>
          <w:rFonts w:ascii="Arial" w:hAnsi="Arial" w:cs="Arial"/>
          <w:bCs/>
        </w:rPr>
        <w:t>the count is 1 after</w:t>
      </w:r>
      <w:r w:rsidR="00EF032B">
        <w:rPr>
          <w:rFonts w:ascii="Arial" w:hAnsi="Arial" w:cs="Arial"/>
          <w:bCs/>
        </w:rPr>
        <w:t xml:space="preserve"> adjustment. </w:t>
      </w:r>
    </w:p>
    <w:p w14:paraId="098B866D" w14:textId="37E202DD" w:rsidR="008B3432" w:rsidRDefault="00172F91" w:rsidP="00AA7E2E">
      <w:pPr>
        <w:spacing w:beforeLines="100" w:before="240" w:after="20"/>
        <w:rPr>
          <w:rFonts w:ascii="Arial" w:hAnsi="Arial" w:cs="Arial"/>
          <w:bCs/>
        </w:rPr>
      </w:pPr>
      <w:r>
        <w:rPr>
          <w:rFonts w:ascii="Arial" w:hAnsi="Arial" w:cs="Arial"/>
          <w:bCs/>
        </w:rPr>
        <w:t>Table 5a shows</w:t>
      </w:r>
      <w:r w:rsidR="00574D58">
        <w:rPr>
          <w:rFonts w:ascii="Arial" w:hAnsi="Arial" w:cs="Arial"/>
          <w:bCs/>
        </w:rPr>
        <w:t xml:space="preserve"> the numbers of subjects, follow-up time, numbers of outcome events and event incidence rates per 1,000 years.</w:t>
      </w:r>
      <w:r>
        <w:rPr>
          <w:rFonts w:ascii="Arial" w:hAnsi="Arial" w:cs="Arial"/>
          <w:bCs/>
        </w:rPr>
        <w:t xml:space="preserve"> </w:t>
      </w:r>
      <w:r w:rsidR="00B04C99">
        <w:rPr>
          <w:rFonts w:ascii="Arial" w:hAnsi="Arial" w:cs="Arial"/>
          <w:bCs/>
        </w:rPr>
        <w:t xml:space="preserve">We can see the incidence rates </w:t>
      </w:r>
      <w:r w:rsidR="00E759A6">
        <w:rPr>
          <w:rFonts w:ascii="Arial" w:hAnsi="Arial" w:cs="Arial"/>
          <w:bCs/>
        </w:rPr>
        <w:t>are consistent with</w:t>
      </w:r>
      <w:r w:rsidR="00B04C99">
        <w:rPr>
          <w:rFonts w:ascii="Arial" w:hAnsi="Arial" w:cs="Arial"/>
          <w:bCs/>
        </w:rPr>
        <w:t xml:space="preserve"> what we have seen in Figure 1. </w:t>
      </w:r>
      <w:r w:rsidR="008B3432">
        <w:rPr>
          <w:rFonts w:ascii="Arial" w:hAnsi="Arial" w:cs="Arial"/>
          <w:bCs/>
        </w:rPr>
        <w:t>Table 5</w:t>
      </w:r>
      <w:r w:rsidR="008A0AFF">
        <w:rPr>
          <w:rFonts w:ascii="Arial" w:hAnsi="Arial" w:cs="Arial"/>
          <w:bCs/>
        </w:rPr>
        <w:t>b</w:t>
      </w:r>
      <w:r w:rsidR="008B3432">
        <w:rPr>
          <w:rFonts w:ascii="Arial" w:hAnsi="Arial" w:cs="Arial"/>
          <w:bCs/>
        </w:rPr>
        <w:t xml:space="preserve"> shows the time to </w:t>
      </w:r>
      <w:r w:rsidR="00B16CFB">
        <w:rPr>
          <w:rFonts w:ascii="Arial" w:hAnsi="Arial" w:cs="Arial"/>
          <w:bCs/>
        </w:rPr>
        <w:t xml:space="preserve">be diagnosed </w:t>
      </w:r>
      <w:r w:rsidR="00ED7A98">
        <w:rPr>
          <w:rFonts w:ascii="Arial" w:hAnsi="Arial" w:cs="Arial"/>
          <w:bCs/>
        </w:rPr>
        <w:t>as</w:t>
      </w:r>
      <w:r w:rsidR="00B16CFB">
        <w:rPr>
          <w:rFonts w:ascii="Arial" w:hAnsi="Arial" w:cs="Arial"/>
          <w:bCs/>
        </w:rPr>
        <w:t xml:space="preserve"> cancer</w:t>
      </w:r>
      <w:r w:rsidR="008B3432">
        <w:rPr>
          <w:rFonts w:ascii="Arial" w:hAnsi="Arial" w:cs="Arial"/>
          <w:bCs/>
        </w:rPr>
        <w:t xml:space="preserve"> for patients in both cohorts. </w:t>
      </w:r>
      <w:r w:rsidR="008049E7">
        <w:rPr>
          <w:rFonts w:ascii="Arial" w:hAnsi="Arial" w:cs="Arial"/>
          <w:bCs/>
        </w:rPr>
        <w:t xml:space="preserve">There is only one </w:t>
      </w:r>
      <w:r w:rsidR="00BB5196">
        <w:rPr>
          <w:rFonts w:ascii="Arial" w:hAnsi="Arial" w:cs="Arial"/>
          <w:bCs/>
        </w:rPr>
        <w:t xml:space="preserve">day </w:t>
      </w:r>
      <w:r w:rsidR="008049E7">
        <w:rPr>
          <w:rFonts w:ascii="Arial" w:hAnsi="Arial" w:cs="Arial"/>
          <w:bCs/>
        </w:rPr>
        <w:t xml:space="preserve">difference </w:t>
      </w:r>
      <w:r w:rsidR="00C868C6">
        <w:rPr>
          <w:rFonts w:ascii="Arial" w:hAnsi="Arial" w:cs="Arial"/>
          <w:bCs/>
        </w:rPr>
        <w:t>between</w:t>
      </w:r>
      <w:r w:rsidR="008049E7">
        <w:rPr>
          <w:rFonts w:ascii="Arial" w:hAnsi="Arial" w:cs="Arial"/>
          <w:bCs/>
        </w:rPr>
        <w:t xml:space="preserve"> all patients in the two cohorts to be diagnosed. </w:t>
      </w:r>
      <w:r w:rsidR="000E2773">
        <w:rPr>
          <w:rFonts w:ascii="Arial" w:hAnsi="Arial" w:cs="Arial"/>
          <w:bCs/>
        </w:rPr>
        <w:t>Figure 5 plots Kaplan-Meier survival curves for both cohorts</w:t>
      </w:r>
      <w:r w:rsidR="00C82A86">
        <w:rPr>
          <w:rFonts w:ascii="Arial" w:hAnsi="Arial" w:cs="Arial"/>
          <w:bCs/>
        </w:rPr>
        <w:t xml:space="preserve">, showing survival as a function of time. We can see the survival probabilities are similar between the two cohort in the beginning, however, target cohort gains increasingly higher probability </w:t>
      </w:r>
      <w:r w:rsidR="008F7613">
        <w:rPr>
          <w:rFonts w:ascii="Arial" w:hAnsi="Arial" w:cs="Arial"/>
          <w:bCs/>
        </w:rPr>
        <w:t>later</w:t>
      </w:r>
      <w:r w:rsidR="00CA2794">
        <w:rPr>
          <w:rFonts w:ascii="Arial" w:hAnsi="Arial" w:cs="Arial"/>
          <w:bCs/>
        </w:rPr>
        <w:t xml:space="preserve">. </w:t>
      </w:r>
      <w:r w:rsidR="005172AF">
        <w:rPr>
          <w:rFonts w:ascii="Arial" w:hAnsi="Arial" w:cs="Arial"/>
          <w:bCs/>
        </w:rPr>
        <w:t xml:space="preserve">The overall hazard rate for target cohort compared to comparator cohort is 0.8 with lower bound of 0.7, higher bound of 0.92 and p value &lt; 0.01. </w:t>
      </w:r>
    </w:p>
    <w:p w14:paraId="58DB3795" w14:textId="596C442D" w:rsidR="00FF4583" w:rsidRDefault="0043487B" w:rsidP="00FF4583">
      <w:pPr>
        <w:spacing w:beforeLines="100" w:before="240" w:after="20"/>
        <w:jc w:val="center"/>
        <w:rPr>
          <w:rFonts w:ascii="Arial" w:hAnsi="Arial" w:cs="Arial"/>
          <w:bCs/>
        </w:rPr>
      </w:pPr>
      <w:r>
        <w:rPr>
          <w:rFonts w:ascii="Arial" w:hAnsi="Arial" w:cs="Arial"/>
          <w:bCs/>
          <w:noProof/>
        </w:rPr>
        <w:drawing>
          <wp:inline distT="0" distB="0" distL="0" distR="0" wp14:anchorId="7DD52518" wp14:editId="1CA17172">
            <wp:extent cx="5669280" cy="3738155"/>
            <wp:effectExtent l="0" t="0" r="762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9280" cy="3738155"/>
                    </a:xfrm>
                    <a:prstGeom prst="rect">
                      <a:avLst/>
                    </a:prstGeom>
                    <a:noFill/>
                  </pic:spPr>
                </pic:pic>
              </a:graphicData>
            </a:graphic>
          </wp:inline>
        </w:drawing>
      </w:r>
    </w:p>
    <w:p w14:paraId="7A9C959B" w14:textId="77777777" w:rsidR="00EB3E1B" w:rsidRDefault="00EB3E1B" w:rsidP="00FF4583">
      <w:pPr>
        <w:spacing w:beforeLines="100" w:before="240" w:after="20"/>
        <w:jc w:val="center"/>
        <w:rPr>
          <w:rFonts w:ascii="Arial" w:hAnsi="Arial" w:cs="Arial"/>
          <w:bCs/>
        </w:rPr>
      </w:pPr>
    </w:p>
    <w:p w14:paraId="29F969D5" w14:textId="25F3C40E" w:rsidR="00EA25D5" w:rsidRDefault="00DB2BF7" w:rsidP="00E52B42">
      <w:pPr>
        <w:spacing w:beforeLines="100" w:before="240" w:after="20"/>
        <w:jc w:val="center"/>
        <w:rPr>
          <w:rFonts w:ascii="Arial" w:hAnsi="Arial" w:cs="Arial"/>
          <w:bCs/>
        </w:rPr>
      </w:pPr>
      <w:r>
        <w:rPr>
          <w:rFonts w:ascii="Arial" w:hAnsi="Arial" w:cs="Arial"/>
          <w:bCs/>
          <w:noProof/>
        </w:rPr>
        <w:lastRenderedPageBreak/>
        <w:drawing>
          <wp:inline distT="0" distB="0" distL="0" distR="0" wp14:anchorId="247AC263" wp14:editId="22FD733B">
            <wp:extent cx="5486400" cy="227760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277605"/>
                    </a:xfrm>
                    <a:prstGeom prst="rect">
                      <a:avLst/>
                    </a:prstGeom>
                    <a:noFill/>
                  </pic:spPr>
                </pic:pic>
              </a:graphicData>
            </a:graphic>
          </wp:inline>
        </w:drawing>
      </w:r>
    </w:p>
    <w:p w14:paraId="13B51A31" w14:textId="5731E228" w:rsidR="001C64A0" w:rsidRDefault="001C64A0" w:rsidP="00E52B42">
      <w:pPr>
        <w:spacing w:beforeLines="100" w:before="240" w:after="20"/>
        <w:jc w:val="center"/>
        <w:rPr>
          <w:rFonts w:ascii="Arial" w:hAnsi="Arial" w:cs="Arial"/>
          <w:bCs/>
        </w:rPr>
      </w:pPr>
      <w:r>
        <w:rPr>
          <w:rFonts w:ascii="Arial" w:hAnsi="Arial" w:cs="Arial"/>
          <w:bCs/>
          <w:noProof/>
        </w:rPr>
        <w:drawing>
          <wp:inline distT="0" distB="0" distL="0" distR="0" wp14:anchorId="3F336C9B" wp14:editId="5F684EBE">
            <wp:extent cx="5669280" cy="2241079"/>
            <wp:effectExtent l="0" t="0" r="762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9280" cy="2241079"/>
                    </a:xfrm>
                    <a:prstGeom prst="rect">
                      <a:avLst/>
                    </a:prstGeom>
                    <a:noFill/>
                  </pic:spPr>
                </pic:pic>
              </a:graphicData>
            </a:graphic>
          </wp:inline>
        </w:drawing>
      </w:r>
    </w:p>
    <w:p w14:paraId="2FBE0E52" w14:textId="6E6006BC" w:rsidR="00937B34" w:rsidRDefault="00172F91" w:rsidP="00320D9B">
      <w:pPr>
        <w:spacing w:beforeLines="100" w:before="240" w:after="20"/>
        <w:jc w:val="center"/>
        <w:rPr>
          <w:rFonts w:ascii="Arial" w:hAnsi="Arial" w:cs="Arial"/>
          <w:bCs/>
        </w:rPr>
      </w:pPr>
      <w:r>
        <w:rPr>
          <w:rFonts w:ascii="Arial" w:hAnsi="Arial" w:cs="Arial"/>
          <w:bCs/>
          <w:noProof/>
        </w:rPr>
        <w:drawing>
          <wp:inline distT="0" distB="0" distL="0" distR="0" wp14:anchorId="20AEDAAA" wp14:editId="655A7421">
            <wp:extent cx="5669280" cy="1716982"/>
            <wp:effectExtent l="0" t="0" r="762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0">
                      <a:extLst>
                        <a:ext uri="{28A0092B-C50C-407E-A947-70E740481C1C}">
                          <a14:useLocalDpi xmlns:a14="http://schemas.microsoft.com/office/drawing/2010/main" val="0"/>
                        </a:ext>
                      </a:extLst>
                    </a:blip>
                    <a:srcRect l="1658" r="2449"/>
                    <a:stretch/>
                  </pic:blipFill>
                  <pic:spPr bwMode="auto">
                    <a:xfrm>
                      <a:off x="0" y="0"/>
                      <a:ext cx="5669280" cy="1716982"/>
                    </a:xfrm>
                    <a:prstGeom prst="rect">
                      <a:avLst/>
                    </a:prstGeom>
                    <a:noFill/>
                    <a:ln>
                      <a:noFill/>
                    </a:ln>
                    <a:extLst>
                      <a:ext uri="{53640926-AAD7-44D8-BBD7-CCE9431645EC}">
                        <a14:shadowObscured xmlns:a14="http://schemas.microsoft.com/office/drawing/2010/main"/>
                      </a:ext>
                    </a:extLst>
                  </pic:spPr>
                </pic:pic>
              </a:graphicData>
            </a:graphic>
          </wp:inline>
        </w:drawing>
      </w:r>
    </w:p>
    <w:p w14:paraId="74EF4B49" w14:textId="6C92D0D5" w:rsidR="00AD4948" w:rsidRDefault="00C82A86" w:rsidP="00320D9B">
      <w:pPr>
        <w:spacing w:beforeLines="100" w:before="240" w:after="20"/>
        <w:jc w:val="center"/>
        <w:rPr>
          <w:rFonts w:ascii="Arial" w:hAnsi="Arial" w:cs="Arial"/>
          <w:bCs/>
        </w:rPr>
      </w:pPr>
      <w:r>
        <w:rPr>
          <w:rFonts w:ascii="Arial" w:hAnsi="Arial" w:cs="Arial"/>
          <w:bCs/>
          <w:noProof/>
        </w:rPr>
        <w:lastRenderedPageBreak/>
        <w:drawing>
          <wp:inline distT="0" distB="0" distL="0" distR="0" wp14:anchorId="2E9D6CFE" wp14:editId="1BE711C1">
            <wp:extent cx="5669280" cy="2868956"/>
            <wp:effectExtent l="0" t="0" r="762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9280" cy="2868956"/>
                    </a:xfrm>
                    <a:prstGeom prst="rect">
                      <a:avLst/>
                    </a:prstGeom>
                    <a:noFill/>
                  </pic:spPr>
                </pic:pic>
              </a:graphicData>
            </a:graphic>
          </wp:inline>
        </w:drawing>
      </w:r>
    </w:p>
    <w:p w14:paraId="337E0DE2" w14:textId="77777777" w:rsidR="00AD4948" w:rsidRPr="00303775" w:rsidRDefault="00AD4948" w:rsidP="00320D9B">
      <w:pPr>
        <w:spacing w:beforeLines="100" w:before="240" w:after="20"/>
        <w:jc w:val="center"/>
        <w:rPr>
          <w:rFonts w:ascii="Arial" w:hAnsi="Arial" w:cs="Arial"/>
          <w:bCs/>
        </w:rPr>
      </w:pPr>
    </w:p>
    <w:p w14:paraId="588F472A" w14:textId="23AC2DC5" w:rsidR="006C7A64" w:rsidRDefault="006C7A64" w:rsidP="00E2271F">
      <w:pPr>
        <w:pStyle w:val="Header4"/>
        <w:rPr>
          <w:u w:val="none"/>
        </w:rPr>
      </w:pPr>
      <w:r>
        <w:rPr>
          <w:u w:val="none"/>
        </w:rPr>
        <w:t>Discussion</w:t>
      </w:r>
    </w:p>
    <w:p w14:paraId="1F64A0A8" w14:textId="3BEB60D8" w:rsidR="007F2809" w:rsidRDefault="00570C56" w:rsidP="007F2809">
      <w:pPr>
        <w:spacing w:beforeLines="100" w:before="240" w:after="20"/>
        <w:rPr>
          <w:rFonts w:ascii="Arial" w:hAnsi="Arial" w:cs="Arial"/>
          <w:bCs/>
        </w:rPr>
      </w:pPr>
      <w:r>
        <w:rPr>
          <w:rFonts w:ascii="Arial" w:hAnsi="Arial" w:cs="Arial"/>
          <w:bCs/>
        </w:rPr>
        <w:t xml:space="preserve">One of the limitations of this study could be that </w:t>
      </w:r>
      <w:r w:rsidR="00022968">
        <w:rPr>
          <w:rFonts w:ascii="Arial" w:hAnsi="Arial" w:cs="Arial"/>
          <w:bCs/>
        </w:rPr>
        <w:t xml:space="preserve">not all related factors for </w:t>
      </w:r>
      <w:r>
        <w:rPr>
          <w:rFonts w:ascii="Arial" w:hAnsi="Arial" w:cs="Arial"/>
          <w:bCs/>
        </w:rPr>
        <w:t>cancer development</w:t>
      </w:r>
      <w:r w:rsidR="00022968">
        <w:rPr>
          <w:rFonts w:ascii="Arial" w:hAnsi="Arial" w:cs="Arial"/>
          <w:bCs/>
        </w:rPr>
        <w:t xml:space="preserve"> were investigated. For example, general risk factors include smoking, lack of physical activity and obesity </w:t>
      </w:r>
      <w:r w:rsidR="003F65B2">
        <w:rPr>
          <w:rFonts w:ascii="Arial" w:hAnsi="Arial" w:cs="Arial"/>
          <w:bCs/>
        </w:rPr>
        <w:fldChar w:fldCharType="begin" w:fldLock="1"/>
      </w:r>
      <w:r w:rsidR="003F65B2">
        <w:rPr>
          <w:rFonts w:ascii="Arial" w:hAnsi="Arial" w:cs="Arial"/>
          <w:bCs/>
        </w:rPr>
        <w:instrText>ADDIN CSL_CITATION {"citationItems":[{"id":"ITEM-1","itemData":{"DOI":"10.1016/S0140-6736(05)67725-2","ISSN":"01406736","abstract":"Introduction: With respect to reducing mortality, advances in cancer treatment have not been as effective as those for other chronic diseases; effective screening methods are available for only a few cancers. Primary prevention through lifestyle and environmental interventions remains the main way to reduce the burden of cancers. In this report, we estimate mortality from 12 types of cancer attributable to nine risk factors in seven World Bank regions for 2001. Methods: We analysed data from the Comparative Risk Assessment project and from new sources to assess exposure to risk factors and relative risk by age, sex, and region. We applied population attributable fractions for individual and multiple risk factors to site-specific cancer mortality from WHO. Findings: Of the 7 million deaths from cancer worldwide in 2001, an estimated 2·43 million (35%) were attributable to nine potentially modifiable risk factors. Of these, 0·76 million deaths were in high-income countries and 1·67 million in low-and-middle-income nations. Among low-and-middle- income regions, Europe and Central Asia had the highest proportion (39%) of deaths from cancer attributable to the risk factors studied. 1·6 million of the deaths attributable to these risk factors were in men and 0·83 million in women. Smoking, alcohol use, and low fruit and vegetable intake were the leading risk factors for death from cancer worldwide and in low-and-middle-income countries. In high-income countries, smoking, alcohol use, and overweight and obesity were the most important causes of cancer. Sexual transmission of human papilloma virus is a leading risk factor for cervical cancer in women in low-and-middle-income countries. Interpretation: Reduction of exposure to key behavioural and environmental risk factors would prevent a substantial proportion of deaths from cancer.","author":[{"dropping-particle":"","family":"Danaei","given":"Goodarz","non-dropping-particle":"","parse-names":false,"suffix":""},{"dropping-particle":"","family":"Hoorn","given":"Stephen","non-dropping-particle":"Vander","parse-names":false,"suffix":""},{"dropping-particle":"","family":"Lopez","given":"Alan D.","non-dropping-particle":"","parse-names":false,"suffix":""},{"dropping-particle":"","family":"Murray","given":"Christopher J.L.","non-dropping-particle":"","parse-names":false,"suffix":""},{"dropping-particle":"","family":"Ezzati","given":"Majid","non-dropping-particle":"","parse-names":false,"suffix":""}],"container-title":"Lancet","id":"ITEM-1","issue":"9499","issued":{"date-parts":[["2005"]]},"page":"1784-1793","title":"Causes of cancer in the world: Comparative risk assessment of nine behavioural and environmental risk factors","type":"article-journal","volume":"366"},"uris":["http://www.mendeley.com/documents/?uuid=de5c1db0-228c-4e74-bda3-6a1d46e4ffe2"]}],"mendeley":{"formattedCitation":"(Danaei, Vander Hoorn, Lopez, Murray, &amp; Ezzati, 2005)","plainTextFormattedCitation":"(Danaei, Vander Hoorn, Lopez, Murray, &amp; Ezzati, 2005)","previouslyFormattedCitation":"(Danaei, Vander Hoorn, Lopez, Murray, &amp; Ezzati, 2005)"},"properties":{"noteIndex":0},"schema":"https://github.com/citation-style-language/schema/raw/master/csl-citation.json"}</w:instrText>
      </w:r>
      <w:r w:rsidR="003F65B2">
        <w:rPr>
          <w:rFonts w:ascii="Arial" w:hAnsi="Arial" w:cs="Arial"/>
          <w:bCs/>
        </w:rPr>
        <w:fldChar w:fldCharType="separate"/>
      </w:r>
      <w:r w:rsidR="003F65B2" w:rsidRPr="003F65B2">
        <w:rPr>
          <w:rFonts w:ascii="Arial" w:hAnsi="Arial" w:cs="Arial"/>
          <w:bCs/>
          <w:noProof/>
        </w:rPr>
        <w:t>(Danaei, Vander Hoorn, Lopez, Murray, &amp; Ezzati, 2005)</w:t>
      </w:r>
      <w:r w:rsidR="003F65B2">
        <w:rPr>
          <w:rFonts w:ascii="Arial" w:hAnsi="Arial" w:cs="Arial"/>
          <w:bCs/>
        </w:rPr>
        <w:fldChar w:fldCharType="end"/>
      </w:r>
      <w:r w:rsidR="00022968">
        <w:rPr>
          <w:rFonts w:ascii="Arial" w:hAnsi="Arial" w:cs="Arial"/>
          <w:bCs/>
        </w:rPr>
        <w:t xml:space="preserve">. Other factors may include alcohol use, environmental factors, occupational exposure </w:t>
      </w:r>
      <w:r w:rsidR="00022968">
        <w:rPr>
          <w:rFonts w:ascii="Arial" w:hAnsi="Arial" w:cs="Arial"/>
          <w:bCs/>
        </w:rPr>
        <w:t>and so forth</w:t>
      </w:r>
      <w:r w:rsidR="003F65B2">
        <w:rPr>
          <w:rFonts w:ascii="Arial" w:hAnsi="Arial" w:cs="Arial"/>
          <w:bCs/>
        </w:rPr>
        <w:t xml:space="preserve"> </w:t>
      </w:r>
      <w:r w:rsidR="003F65B2">
        <w:rPr>
          <w:rFonts w:ascii="Arial" w:hAnsi="Arial" w:cs="Arial"/>
          <w:bCs/>
        </w:rPr>
        <w:fldChar w:fldCharType="begin" w:fldLock="1"/>
      </w:r>
      <w:r w:rsidR="003F65B2">
        <w:rPr>
          <w:rFonts w:ascii="Arial" w:hAnsi="Arial" w:cs="Arial"/>
          <w:bCs/>
        </w:rPr>
        <w:instrText>ADDIN CSL_CITATION {"citationItems":[{"id":"ITEM-1","itemData":{"DOI":"10.3961/jpmph.2010.43.6.459","ISSN":"19758375","abstract":"The main behavioural and environmental risk factors for cancer mortality in the world are related to diet and physical inactivity, use of addictive substances, sexual and reproductive health, exposure to air pollution and use of contaminated needles. The population attributable fraction for all cancer sites worldwide considering the joint effect of these factors is about 35% (34 % for low- and middle-income countries and 37% for high-income countries). Seventy-one percent of lung cancer deaths are caused by tobacco use (lung cancer is the leading cause of cancer death globally). The combined effects of tobacco use, low fruit and vegetable intake, urban air pollution, and indoor smoke from household use of solid fuels cause 76% of lung cancer deaths. Exposure to these behavioural and environmental factors is preventable; modifications in lifestyle could have a large impact in reducing the cancer burden worldwide. The evidence of association between lifestyle factors and cancer, as well as the main international recommendations for prevention are briefly reviewed and commented upon here.","author":[{"dropping-particle":"","family":"Weiderpass","given":"Elisabete","non-dropping-particle":"","parse-names":false,"suffix":""}],"container-title":"Journal of Preventive Medicine and Public Health","id":"ITEM-1","issue":"6","issued":{"date-parts":[["2010"]]},"page":"459-471","title":"Lifestyle and cancer risk","type":"article-journal","volume":"43"},"uris":["http://www.mendeley.com/documents/?uuid=79364469-06bf-43c5-ab58-da68177071d2"]}],"mendeley":{"formattedCitation":"(Weiderpass, 2010)","plainTextFormattedCitation":"(Weiderpass, 2010)","previouslyFormattedCitation":"(Weiderpass, 2010)"},"properties":{"noteIndex":0},"schema":"https://github.com/citation-style-language/schema/raw/master/csl-citation.json"}</w:instrText>
      </w:r>
      <w:r w:rsidR="003F65B2">
        <w:rPr>
          <w:rFonts w:ascii="Arial" w:hAnsi="Arial" w:cs="Arial"/>
          <w:bCs/>
        </w:rPr>
        <w:fldChar w:fldCharType="separate"/>
      </w:r>
      <w:r w:rsidR="003F65B2" w:rsidRPr="003F65B2">
        <w:rPr>
          <w:rFonts w:ascii="Arial" w:hAnsi="Arial" w:cs="Arial"/>
          <w:bCs/>
          <w:noProof/>
        </w:rPr>
        <w:t>(Weiderpass, 2010)</w:t>
      </w:r>
      <w:r w:rsidR="003F65B2">
        <w:rPr>
          <w:rFonts w:ascii="Arial" w:hAnsi="Arial" w:cs="Arial"/>
          <w:bCs/>
        </w:rPr>
        <w:fldChar w:fldCharType="end"/>
      </w:r>
      <w:r w:rsidR="003F65B2">
        <w:rPr>
          <w:rFonts w:ascii="Arial" w:hAnsi="Arial" w:cs="Arial"/>
          <w:bCs/>
        </w:rPr>
        <w:fldChar w:fldCharType="begin" w:fldLock="1"/>
      </w:r>
      <w:r w:rsidR="003F65B2">
        <w:rPr>
          <w:rFonts w:ascii="Arial" w:hAnsi="Arial" w:cs="Arial"/>
          <w:bCs/>
        </w:rPr>
        <w:instrText>ADDIN CSL_CITATION {"citationItems":[{"id":"ITEM-1","itemData":{"DOI":"10.1007/s10552-008-9254-2","ISSN":"09575243","abstract":"Objectives: To examine the 12-year trend, in Alberta and Canada, of five modifiable lifestyle risk factors for cancer, and their associations with sociodemographic factors. Methods: Six surveys collected data from Canadians aged ≥12 years. The prevalence, trends, and sociodemographic association of five lifestyle risk factors (smoking, inactivity, excessive drinking, overweight/obesity, and insufficient fruit/vegetable intake) were examined. Results: Smoking and inactivity decreased significantly: by 5.4% and 2.7% (Alberta men) and 4.9% and 12.1% (Alberta women); by 7.5% and 8.5% (Canada men) and 7.7% and 11.9% (Canada women). Excessive drinking increased significantly: by 3.6% (men) and 0.9% (women), Alberta; by 2.5% (men) and 0.9% (women), Canada. Overweight/obesity significantly increased by 6.0% (Alberta) and 4.1% (Canada) in women. Being female, single, highly educated, or having higher income decreased the likelihood of exposure to multiple lifestyle risk factors; being middle aged, widowed/separated/divorced, or in poor health condition increased the likelihood. Conclusions: The downward trends for smoking and physical inactivity were in a direction that may help reduce cancer burden. The excessive drinking and overweight/obesity trends did not change in desired direction and deserve attention. The clustering of the lifestyle risk factors in specific social groups provides useful information for future intervention planning. © 2008 Springer Science+Business Media B.V.","author":[{"dropping-particle":"","family":"Li","given":"Feng Xiao","non-dropping-particle":"","parse-names":false,"suffix":""},{"dropping-particle":"","family":"Robson","given":"Paula J.","non-dropping-particle":"","parse-names":false,"suffix":""},{"dropping-particle":"","family":"Chen","given":"Yiqun","non-dropping-particle":"","parse-names":false,"suffix":""},{"dropping-particle":"","family":"Qiu","given":"Zhenguo","non-dropping-particle":"","parse-names":false,"suffix":""},{"dropping-particle":"","family":"Siou","given":"Geraldine","non-dropping-particle":"Lo","parse-names":false,"suffix":""},{"dropping-particle":"","family":"Bryant","given":"Heather E.","non-dropping-particle":"","parse-names":false,"suffix":""}],"container-title":"Cancer Causes and Control","id":"ITEM-1","issue":"3","issued":{"date-parts":[["2009"]]},"page":"395-407","title":"Prevalence, trend, and sociodemographic association of five modifiable lifestyle risk factors for cancer in Alberta and Canada","type":"article-journal","volume":"20"},"uris":["http://www.mendeley.com/documents/?uuid=dd252be4-6947-4490-9efe-95ec457ed142"]}],"mendeley":{"formattedCitation":"(Li et al., 2009)","plainTextFormattedCitation":"(Li et al., 2009)","previouslyFormattedCitation":"(Li et al., 2009)"},"properties":{"noteIndex":0},"schema":"https://github.com/citation-style-language/schema/raw/master/csl-citation.json"}</w:instrText>
      </w:r>
      <w:r w:rsidR="003F65B2">
        <w:rPr>
          <w:rFonts w:ascii="Arial" w:hAnsi="Arial" w:cs="Arial"/>
          <w:bCs/>
        </w:rPr>
        <w:fldChar w:fldCharType="separate"/>
      </w:r>
      <w:r w:rsidR="003F65B2" w:rsidRPr="003F65B2">
        <w:rPr>
          <w:rFonts w:ascii="Arial" w:hAnsi="Arial" w:cs="Arial"/>
          <w:bCs/>
          <w:noProof/>
        </w:rPr>
        <w:t>(Li et al., 2009)</w:t>
      </w:r>
      <w:r w:rsidR="003F65B2">
        <w:rPr>
          <w:rFonts w:ascii="Arial" w:hAnsi="Arial" w:cs="Arial"/>
          <w:bCs/>
        </w:rPr>
        <w:fldChar w:fldCharType="end"/>
      </w:r>
      <w:r w:rsidR="003F65B2">
        <w:rPr>
          <w:rFonts w:ascii="Arial" w:hAnsi="Arial" w:cs="Arial"/>
          <w:bCs/>
        </w:rPr>
        <w:fldChar w:fldCharType="begin" w:fldLock="1"/>
      </w:r>
      <w:r w:rsidR="007E02B7">
        <w:rPr>
          <w:rFonts w:ascii="Arial" w:hAnsi="Arial" w:cs="Arial"/>
          <w:bCs/>
        </w:rPr>
        <w:instrText>ADDIN CSL_CITATION {"citationItems":[{"id":"ITEM-1","itemData":{"ISBN":"978 92 832 1323 9","ISSN":"10171606","PMID":"23189753","abstract":"IARC As \" CARCInogenIC to humAns (gRoup 1) \" And wAs deVeloped by sIx sepARAte woRkIng gRoups: phARmACeutICAls; bIologICAl Agents; ARsenIC, metAls, fIbRes, And dusts; RAdIAtIon; peRsonAl hAbIts And IndooR CombustIons; ChemICAl Agents And RelAted oCCupAtIons. thIs Volume 100f CoVeRs ChemICAl Agents And RelAted oCCupAtIons, speCIfICAlly 4-AmInobIphenyl, benzIdIne, dyes metAbolIzed to benzIdIne, 4,4'-methylenebIs(2-ChloRoAnIlIne), 2-nAphthylAmIne, oRtho-toluIdIne, AuRAmIne And AuRAmIne pRoduCtIon, mAgentA And mAgentA pRoduCtIon, benzo[A]pyRene, CoAl gAsIfICAtIon, oCCupAtIonAl exposuRes duRIng CoAl-tAR dIstIllAtIon, CoAl-tAR pItCh, Coke pRoduCtIon, untReAted oR mIldly tReAted mIneRAl oIls, shAle oIls, soot, As found In oCCupAtIonAl exposuRe of ChImney-sweeps, oCCupAtIonAl exposuRes duRIng AlumInIum pRoduCtIon, AflAtoxIns, benzene, bIs(ChloRomethyl)etheR And ChloRomethyl methyl etheR, 1,3-butAdIene, 2,3,7,8-tetRAChloRodIbenzo-pARA-dIoxIn, 2,3,4,7,8-pentAChloRodIbenzofuRAn, And 3,3',4,4',5-pentAChloRobIphenyl, ethylene oxIde, foRmAldehyde, sulfuR mustARd, VInyl ChloRIde, IsopRopyl AlCohol mAnufACtuRe by the stRong-ACId pRoCess, mIsts fRom stRong InoRgAnIC ACIds, oCCupAtIonAl exposuRes duRIng IRon And steel foundIng, oCCupAtIonAl exposuRe As A pAInteR, oCCupAtIonAl exposuRes In the RubbeR mAnufACtuRIng IndustRy. beCAuse the sCope of Volume 100 Is so bRoAd, Its monogRAphs ARe foCused on key InfoRmAtIon. eACh monogRAph pResents A desCRIptIon of A CARCInogenIC Agent And how people ARe exposed, CRItICAl oVeRVIews of the epIdemIologICAl studIes And AnImAl CAnCeR bIoAssAys, And A ConCIse ReVIew of the Agent's toxICokInetICs, plAusIble meChAnIsms of CARCInogenesIs, And potentIAlly susCeptIble populAtIons, And lIfe-stAges. detAIls of the desIgn And Results of IndIVIduAl epIdemIologICAl studIes And AnImAl CAnCeR bIoAssAys ARe summARIzed In tAbles. shoRt tAbles thAt hIghlIght key Results ARe pRInted In Volume 100, And moRe extensIVe tAbles thAt InClude All studIes AppeAR on the monogRAphs pRogRAmme websIte (http://monogRAphs.IARC.fR). It Is hoped thAt thIs Volume, by CompIlIng the knowledge ACCumulAted thRough seVeRAl deCAdes of CAnCeR ReseARCh, wIll stImulAte CAnCeR pReVentIon ACtIVItIes woRldwIde, And wIll be A VAlued","author":[{"dropping-particle":"","family":"IARC","given":"","non-dropping-particle":"","parse-names":false,"suffix":""}],"container-title":"International Agency for Research on Cancer","id":"ITEM-1","issue":"December","issued":{"date-parts":[["2012"]]},"page":"628","title":"Chemical agents and related occupations - Volume 100 F: A review of human carcinogens","type":"article-journal","volume":"Vol. 100F"},"uris":["http://www.mendeley.com/documents/?uuid=30f236b5-412e-49c2-b8f5-d302f32690af"]}],"mendeley":{"formattedCitation":"(IARC, 2012)","plainTextFormattedCitation":"(IARC, 2012)","previouslyFormattedCitation":"(IARC, 2012)"},"properties":{"noteIndex":0},"schema":"https://github.com/citation-style-language/schema/raw/master/csl-citation.json"}</w:instrText>
      </w:r>
      <w:r w:rsidR="003F65B2">
        <w:rPr>
          <w:rFonts w:ascii="Arial" w:hAnsi="Arial" w:cs="Arial"/>
          <w:bCs/>
        </w:rPr>
        <w:fldChar w:fldCharType="separate"/>
      </w:r>
      <w:r w:rsidR="003F65B2" w:rsidRPr="003F65B2">
        <w:rPr>
          <w:rFonts w:ascii="Arial" w:hAnsi="Arial" w:cs="Arial"/>
          <w:bCs/>
          <w:noProof/>
        </w:rPr>
        <w:t>(IARC, 2012)</w:t>
      </w:r>
      <w:r w:rsidR="003F65B2">
        <w:rPr>
          <w:rFonts w:ascii="Arial" w:hAnsi="Arial" w:cs="Arial"/>
          <w:bCs/>
        </w:rPr>
        <w:fldChar w:fldCharType="end"/>
      </w:r>
      <w:r w:rsidR="00022968">
        <w:rPr>
          <w:rFonts w:ascii="Arial" w:hAnsi="Arial" w:cs="Arial"/>
          <w:bCs/>
        </w:rPr>
        <w:t xml:space="preserve">. Many of these factors are hard to quantify. </w:t>
      </w:r>
    </w:p>
    <w:p w14:paraId="71F74A64" w14:textId="6C30A619" w:rsidR="00B5774D" w:rsidRDefault="00B5774D" w:rsidP="007F2809">
      <w:pPr>
        <w:spacing w:beforeLines="100" w:before="240" w:after="20"/>
        <w:rPr>
          <w:rFonts w:ascii="Arial" w:hAnsi="Arial" w:cs="Arial"/>
          <w:bCs/>
        </w:rPr>
      </w:pPr>
      <w:r>
        <w:rPr>
          <w:rFonts w:ascii="Arial" w:hAnsi="Arial" w:cs="Arial"/>
          <w:bCs/>
        </w:rPr>
        <w:t xml:space="preserve">The comparator cohort in this study was hypertension patients exposed to ARBs. However, a more accurate method to investigate the risk of ACE inhibitors could be defining comparator as group using placebo. </w:t>
      </w:r>
      <w:r w:rsidR="009E4067">
        <w:rPr>
          <w:rFonts w:ascii="Arial" w:hAnsi="Arial" w:cs="Arial"/>
          <w:bCs/>
        </w:rPr>
        <w:t xml:space="preserve">The reason is that ARBs itself is a controversial medication. </w:t>
      </w:r>
      <w:r w:rsidR="00F16F84">
        <w:rPr>
          <w:rFonts w:ascii="Arial" w:hAnsi="Arial" w:cs="Arial"/>
          <w:bCs/>
        </w:rPr>
        <w:t xml:space="preserve">Some studies showed an increase risk of tumors in patients taking ARBs </w:t>
      </w:r>
      <w:r w:rsidR="007E02B7">
        <w:rPr>
          <w:rFonts w:ascii="Arial" w:hAnsi="Arial" w:cs="Arial"/>
          <w:bCs/>
        </w:rPr>
        <w:fldChar w:fldCharType="begin" w:fldLock="1"/>
      </w:r>
      <w:r w:rsidR="007E02B7">
        <w:rPr>
          <w:rFonts w:ascii="Arial" w:hAnsi="Arial" w:cs="Arial"/>
          <w:bCs/>
        </w:rPr>
        <w:instrText>ADDIN CSL_CITATION {"citationItems":[{"id":"ITEM-1","itemData":{"DOI":"10.1111/j.1600-6143.2011.03681.x","ISSN":"16006135","abstract":"Whether treatment with angiotensin-converting enzyme inhibitors (ACEi) and/or angiotensin receptor blockers (ARB) increases the risk of cancer is controversial. Collaborative transplant study datawere analyzed according to whether kidney transplant recipients were treated with ACEi/ARB at year 1. Twenty-four thousand and ninety patients were studied of whom 9079 (38%) patients received ACEi/ARB. There were 872 nonskin malignancies during years 2-8 posttransplant, including 107 respiratory/intrathoracic tumors. The standardized incidence ratio (SIR) for all nonskin malignancieswas similar between the ACEi/ARB (1.91) and no ACEi/ARB (1.81) groups (p = 0.42). For respiratory/ intrathoracic tumors, however, SIR was significantly higher with ACEi/ARB (1.65 vs. 1.09 for no ACEi/ARB, p=0.033).Multivariate Cox regression analysis showed that ACEi/ARB treatment was not associated with an increased risk of respiratory/intrathoracic tumors in nonsmokers. In patients with a history of smoking, however, the risk of respiratory/intrathoracic tumors was 2.77 (95% CI 1.19-6.43, p = 0.018) in patients without ACEi/ARB treatment as compared to 7.10 (95% CI 3.27-15.4, p &lt; 0.001) in patients treated with ACEi/ARB. Our data indicate that in kidney transplant recipients, ACEi/ARB treatment is associated with a significant increase in the rate of respiratory/ intrathoracic tumors in the subpopulation of patients with a history of smoking. © Copyright 2011 The American Society of Transplantation.","author":[{"dropping-particle":"","family":"Opelz","given":"G.","non-dropping-particle":"","parse-names":false,"suffix":""},{"dropping-particle":"","family":"Döhler","given":"B.","non-dropping-particle":"","parse-names":false,"suffix":""}],"container-title":"American Journal of Transplantation","id":"ITEM-1","issue":"11","issued":{"date-parts":[["2011"]]},"page":"2483-2489","title":"Treatment of kidney transplant recipients with acei/arb and risk of respiratory tract cancer: A collaborative transplant study report","type":"article-journal","volume":"11"},"uris":["http://www.mendeley.com/documents/?uuid=61c5c895-67e5-4b40-904a-fd3dd353e25b"]}],"mendeley":{"formattedCitation":"(Opelz &amp; Döhler, 2011)","plainTextFormattedCitation":"(Opelz &amp; Döhler, 2011)","previouslyFormattedCitation":"(Opelz &amp; Döhler, 2011)"},"properties":{"noteIndex":0},"schema":"https://github.com/citation-style-language/schema/raw/master/csl-citation.json"}</w:instrText>
      </w:r>
      <w:r w:rsidR="007E02B7">
        <w:rPr>
          <w:rFonts w:ascii="Arial" w:hAnsi="Arial" w:cs="Arial"/>
          <w:bCs/>
        </w:rPr>
        <w:fldChar w:fldCharType="separate"/>
      </w:r>
      <w:r w:rsidR="007E02B7" w:rsidRPr="007E02B7">
        <w:rPr>
          <w:rFonts w:ascii="Arial" w:hAnsi="Arial" w:cs="Arial"/>
          <w:bCs/>
          <w:noProof/>
        </w:rPr>
        <w:t>(Opelz &amp; Döhler, 2011)</w:t>
      </w:r>
      <w:r w:rsidR="007E02B7">
        <w:rPr>
          <w:rFonts w:ascii="Arial" w:hAnsi="Arial" w:cs="Arial"/>
          <w:bCs/>
        </w:rPr>
        <w:fldChar w:fldCharType="end"/>
      </w:r>
      <w:r w:rsidR="007E02B7">
        <w:rPr>
          <w:rFonts w:ascii="Arial" w:hAnsi="Arial" w:cs="Arial"/>
          <w:bCs/>
        </w:rPr>
        <w:fldChar w:fldCharType="begin" w:fldLock="1"/>
      </w:r>
      <w:r w:rsidR="00772CE0">
        <w:rPr>
          <w:rFonts w:ascii="Arial" w:hAnsi="Arial" w:cs="Arial"/>
          <w:bCs/>
        </w:rPr>
        <w:instrText>ADDIN CSL_CITATION {"citationItems":[{"id":"ITEM-1","itemData":{"DOI":"10.1016/S1470-2045(10)70106-6.Angiotensin-receptor","author":[{"dropping-particle":"","family":"Sipahi","given":"Ilke","non-dropping-particle":"","parse-names":false,"suffix":""},{"dropping-particle":"","family":"Debanne","given":"Sara M","non-dropping-particle":"","parse-names":false,"suffix":""},{"dropping-particle":"","family":"Rowland","given":"Douglas Y","non-dropping-particle":"","parse-names":false,"suffix":""},{"dropping-particle":"","family":"Simon","given":"Daniel I","non-dropping-particle":"","parse-names":false,"suffix":""},{"dropping-particle":"","family":"Fang","given":"James C","non-dropping-particle":"","parse-names":false,"suffix":""}],"id":"ITEM-1","issue":"7","issued":{"date-parts":[["2014"]]},"page":"627-636","title":"Angiotensin-receptor blockade and risk of cancer: meta-analysis of randomised controlled trials","type":"article-journal","volume":"11"},"uris":["http://www.mendeley.com/documents/?uuid=e1645186-2441-4d7b-bdb5-0cb6b392350a"]}],"mendeley":{"formattedCitation":"(Sipahi, Debanne, Rowland, Simon, &amp; Fang, 2014)","plainTextFormattedCitation":"(Sipahi, Debanne, Rowland, Simon, &amp; Fang, 2014)","previouslyFormattedCitation":"(Sipahi, Debanne, Rowland, Simon, &amp; Fang, 2014)"},"properties":{"noteIndex":0},"schema":"https://github.com/citation-style-language/schema/raw/master/csl-citation.json"}</w:instrText>
      </w:r>
      <w:r w:rsidR="007E02B7">
        <w:rPr>
          <w:rFonts w:ascii="Arial" w:hAnsi="Arial" w:cs="Arial"/>
          <w:bCs/>
        </w:rPr>
        <w:fldChar w:fldCharType="separate"/>
      </w:r>
      <w:r w:rsidR="007E02B7" w:rsidRPr="007E02B7">
        <w:rPr>
          <w:rFonts w:ascii="Arial" w:hAnsi="Arial" w:cs="Arial"/>
          <w:bCs/>
          <w:noProof/>
        </w:rPr>
        <w:t>(Sipahi, Debanne, Rowland, Simon, &amp; Fang, 2014)</w:t>
      </w:r>
      <w:r w:rsidR="007E02B7">
        <w:rPr>
          <w:rFonts w:ascii="Arial" w:hAnsi="Arial" w:cs="Arial"/>
          <w:bCs/>
        </w:rPr>
        <w:fldChar w:fldCharType="end"/>
      </w:r>
      <w:r w:rsidR="00F16F84">
        <w:rPr>
          <w:rFonts w:ascii="Arial" w:hAnsi="Arial" w:cs="Arial"/>
          <w:bCs/>
        </w:rPr>
        <w:t xml:space="preserve"> while other studies showed ARBs are protective against cancer or improve cancer prognosis</w:t>
      </w:r>
      <w:r w:rsidR="00772CE0">
        <w:rPr>
          <w:rFonts w:ascii="Arial" w:hAnsi="Arial" w:cs="Arial"/>
          <w:bCs/>
        </w:rPr>
        <w:t xml:space="preserve"> </w:t>
      </w:r>
      <w:r w:rsidR="00772CE0">
        <w:rPr>
          <w:rFonts w:ascii="Arial" w:hAnsi="Arial" w:cs="Arial"/>
          <w:bCs/>
        </w:rPr>
        <w:fldChar w:fldCharType="begin" w:fldLock="1"/>
      </w:r>
      <w:r w:rsidR="00772CE0">
        <w:rPr>
          <w:rFonts w:ascii="Arial" w:hAnsi="Arial" w:cs="Arial"/>
          <w:bCs/>
        </w:rPr>
        <w:instrText>ADDIN CSL_CITATION {"citationItems":[{"id":"ITEM-1","itemData":{"DOI":"10.36076/ppj.2017.292","ISSN":"21501149","PMID":"28535551","abstract":"Background: Angiotensin-converting enzyme inhibitors (ACEI) and angiotensin receptor blockers (ARB) have sufficient scientific support for their use as tissue protectors. Preliminary studies suggest that their angiotensin-II type 2 receptor (AT2R)-blocking properties have a beneficial profile in the treatment of neuropathic pain. Objectives: The purpose of the current study was to quantify the extent of the somatosensory effects of ACEI and ARB in cancer patients with chemotherapy-induced peripheral neuropathy. Study Design: We performed a retrospective review of cancer patients with peripheral neuropathy of the upper limbs induced by known neurotoxic anti-cancer agents. Setting: Pain Medicine department at academic tertiary care cancer center. Methods: Using our quantitative sensory testing (QST) data bank, we retrospectively compared the tactile function and the touch, sharp, and thermal thresholds of patients who were previously receiving ACEI or ARB for high blood pressure with these variables in controls who were not receiving ACEI or ARB. Results: Of the 209 patients available for analysis, 145 met inclusion criteria. Baseline characteristics of patients included were generally similar. We identified 29 patients who were receiving AT2R inhibitors prior to starting chemotherapy. Touch thresholds were statistically lower in the thenar aspect of hand in the study group (patients who received AT2R inhibitors) than in the control group [mean (± SD), median 3.03 g (± 11.05), median 0.56 g and 6.75 g (± 18.28), 0.56 g, respectively (P = 0.0441)]. Similarly, the cold pain threshold was statistically higher at the thenar area for the study group [mean (± SD), median 13.23°C (± 8.02), 11.73°C] than for controls [9.89°C (± 6.62), 10.05°C (P = 0.0369)]. Limitations: Inadequacies in the original data acquisition and documentation of the QST and the medical records could not be addressed due to the retrospective nature of the study. Similarly, a discrepancy on the size of the comparison groups could not be reconciled. In addition, based on the available information and the lack of documented concomitant pain levels, we did not find an objective parameter able to correlate the QST findings with pain levels. Conclusions: AT2R inhibitors might offer partial and selective neuroprotective qualities of the myelinated fibers A-β and A-δ in cancer patients who receive neurotoxic chemotherapy.","author":[{"dropping-particle":"","family":"Roldan","given":"Carlos J.","non-dropping-particle":"","parse-names":false,"suffix":""},{"dropping-particle":"","family":"Song","given":"Juhee","non-dropping-particle":"","parse-names":false,"suffix":""},{"dropping-particle":"","family":"Engle","given":"Mitchell P.","non-dropping-particle":"","parse-names":false,"suffix":""},{"dropping-particle":"","family":"Dougherty","given":"Patrick M.","non-dropping-particle":"","parse-names":false,"suffix":""}],"container-title":"Pain Physician","id":"ITEM-1","issue":"4","issued":{"date-parts":[["2017"]]},"page":"281-292","title":"Angiotensin-converting enzyme inhibitors and angiotensin receptor blockers modulate the function of myelinated fibers after chemotherapy: A quantitative sensory testing study","type":"article-journal","volume":"20"},"uris":["http://www.mendeley.com/documents/?uuid=d49df342-0d6b-4211-b539-6051c9d0aeb1"]}],"mendeley":{"formattedCitation":"(Roldan, Song, Engle, &amp; Dougherty, 2017)","plainTextFormattedCitation":"(Roldan, Song, Engle, &amp; Dougherty, 2017)","previouslyFormattedCitation":"(Roldan, Song, Engle, &amp; Dougherty, 2017)"},"properties":{"noteIndex":0},"schema":"https://github.com/citation-style-language/schema/raw/master/csl-citation.json"}</w:instrText>
      </w:r>
      <w:r w:rsidR="00772CE0">
        <w:rPr>
          <w:rFonts w:ascii="Arial" w:hAnsi="Arial" w:cs="Arial"/>
          <w:bCs/>
        </w:rPr>
        <w:fldChar w:fldCharType="separate"/>
      </w:r>
      <w:r w:rsidR="00772CE0" w:rsidRPr="00772CE0">
        <w:rPr>
          <w:rFonts w:ascii="Arial" w:hAnsi="Arial" w:cs="Arial"/>
          <w:bCs/>
          <w:noProof/>
        </w:rPr>
        <w:t>(Roldan, Song, Engle, &amp; Dougherty, 2017)</w:t>
      </w:r>
      <w:r w:rsidR="00772CE0">
        <w:rPr>
          <w:rFonts w:ascii="Arial" w:hAnsi="Arial" w:cs="Arial"/>
          <w:bCs/>
        </w:rPr>
        <w:fldChar w:fldCharType="end"/>
      </w:r>
      <w:r w:rsidR="00772CE0">
        <w:rPr>
          <w:rFonts w:ascii="Arial" w:hAnsi="Arial" w:cs="Arial"/>
          <w:bCs/>
        </w:rPr>
        <w:fldChar w:fldCharType="begin" w:fldLock="1"/>
      </w:r>
      <w:r w:rsidR="00772CE0">
        <w:rPr>
          <w:rFonts w:ascii="Arial" w:hAnsi="Arial" w:cs="Arial"/>
          <w:bCs/>
        </w:rPr>
        <w:instrText>ADDIN CSL_CITATION {"citationItems":[{"id":"ITEM-1","itemData":{"DOI":"10.1038/bjc.2011.565","ISSN":"00070920","abstract":"Background: The potential role of the renin-angiotensin system (RAS) in the promotion of tumour growth has been investigated, and the administration of RAS inhibitors, such as angiotensin-converting enzyme inhibitors (ACEIs) or angiotensin II receptor blockers (ARBs), may improve disease control in malignancy. We investigated the prognostic impact of RAS inhibitors by analysing data from patients with upper-tract urothelial carcinoma (UTUC). Methods: A total of 279 patients who underwent nephroureterectomy for localised UTUC (pTa-3N0M0) were identified at our three institutions. We retrospectively investigated the prognostic outcomes following nephroureterectomy in patients administered or not administered ACEIs or ARBs. Results: The median follow-up period was 3.4 years. RAS inhibitors were administered to 48 patients (17.2%). Multivariate analysis showed that the appearance of pathological T3, positive lymphovascular invasion, and no RAS inhibitor administration (P=0.027 HR=3.14) were independent risk factors for a decrease in subsequent metastasis-free survival. The 5-year metastasis-free survival rate was 93.0% in patients who administered RAS inhibitors, and 72.8% in their counterparts who did not (P=0.008). Conclusion: The absence of RAS inhibitor administration was an independent risk factor for subsequent tumour metastasis in patients with localised UTUC. We propose RAS inhibitors may be a potent choice as an effective treatment following nephroureterectomy. © 2012 Cancer Research UK All rights reserved.","author":[{"dropping-particle":"","family":"Tanaka","given":"N.","non-dropping-particle":"","parse-names":false,"suffix":""},{"dropping-particle":"","family":"Miyajima","given":"A.","non-dropping-particle":"","parse-names":false,"suffix":""},{"dropping-particle":"","family":"Kikuchi","given":"E.","non-dropping-particle":"","parse-names":false,"suffix":""},{"dropping-particle":"","family":"Matsumoto","given":"K.","non-dropping-particle":"","parse-names":false,"suffix":""},{"dropping-particle":"","family":"Hagiwara","given":"M.","non-dropping-particle":"","parse-names":false,"suffix":""},{"dropping-particle":"","family":"Ide","given":"H.","non-dropping-particle":"","parse-names":false,"suffix":""},{"dropping-particle":"","family":"Kosaka","given":"T.","non-dropping-particle":"","parse-names":false,"suffix":""},{"dropping-particle":"","family":"Masuda","given":"T.","non-dropping-particle":"","parse-names":false,"suffix":""},{"dropping-particle":"","family":"Nakamura","given":"S.","non-dropping-particle":"","parse-names":false,"suffix":""},{"dropping-particle":"","family":"Oya","given":"M.","non-dropping-particle":"","parse-names":false,"suffix":""}],"container-title":"British Journal of Cancer","id":"ITEM-1","issue":"2","issued":{"date-parts":[["2012"]]},"page":"290-296","publisher":"Nature Publishing Group","title":"Prognonstic impact of renin-angiotensin system blockade in localised upper-tract urothelial carcinoma","type":"article-journal","volume":"106"},"uris":["http://www.mendeley.com/documents/?uuid=e3b7609a-f79e-42a8-b941-1e27b3920f97"]}],"mendeley":{"formattedCitation":"(Tanaka et al., 2012)","plainTextFormattedCitation":"(Tanaka et al., 2012)"},"properties":{"noteIndex":0},"schema":"https://github.com/citation-style-language/schema/raw/master/csl-citation.json"}</w:instrText>
      </w:r>
      <w:r w:rsidR="00772CE0">
        <w:rPr>
          <w:rFonts w:ascii="Arial" w:hAnsi="Arial" w:cs="Arial"/>
          <w:bCs/>
        </w:rPr>
        <w:fldChar w:fldCharType="separate"/>
      </w:r>
      <w:r w:rsidR="00772CE0" w:rsidRPr="00772CE0">
        <w:rPr>
          <w:rFonts w:ascii="Arial" w:hAnsi="Arial" w:cs="Arial"/>
          <w:bCs/>
          <w:noProof/>
        </w:rPr>
        <w:t>(Tanaka et al., 2012)</w:t>
      </w:r>
      <w:r w:rsidR="00772CE0">
        <w:rPr>
          <w:rFonts w:ascii="Arial" w:hAnsi="Arial" w:cs="Arial"/>
          <w:bCs/>
        </w:rPr>
        <w:fldChar w:fldCharType="end"/>
      </w:r>
      <w:r w:rsidR="00F16F84">
        <w:rPr>
          <w:rFonts w:ascii="Arial" w:hAnsi="Arial" w:cs="Arial"/>
          <w:bCs/>
        </w:rPr>
        <w:t xml:space="preserve">. </w:t>
      </w:r>
      <w:r w:rsidR="005947F2">
        <w:rPr>
          <w:rFonts w:ascii="Arial" w:hAnsi="Arial" w:cs="Arial"/>
          <w:bCs/>
        </w:rPr>
        <w:t xml:space="preserve">In this study, the hazard rate is </w:t>
      </w:r>
      <w:r w:rsidR="005947F2">
        <w:rPr>
          <w:rFonts w:ascii="Arial" w:hAnsi="Arial" w:cs="Arial"/>
          <w:bCs/>
        </w:rPr>
        <w:t>0.8 with lower bound of 0.7, higher bound of 0.92 and p value &lt; 0.01</w:t>
      </w:r>
      <w:r w:rsidR="005947F2">
        <w:rPr>
          <w:rFonts w:ascii="Arial" w:hAnsi="Arial" w:cs="Arial"/>
          <w:bCs/>
        </w:rPr>
        <w:t xml:space="preserve">, for ACE inhibitors group/ARBs group. </w:t>
      </w:r>
      <w:r w:rsidR="00DF3AFF">
        <w:rPr>
          <w:rFonts w:ascii="Arial" w:hAnsi="Arial" w:cs="Arial"/>
          <w:bCs/>
        </w:rPr>
        <w:t>It means ACE inhibitors bring slightly or similar cancer risk as ARBs</w:t>
      </w:r>
      <w:r w:rsidR="000B78C0">
        <w:rPr>
          <w:rFonts w:ascii="Arial" w:hAnsi="Arial" w:cs="Arial"/>
          <w:bCs/>
        </w:rPr>
        <w:t xml:space="preserve">, however, we cannot draw convincing conclusion through this single study </w:t>
      </w:r>
      <w:r w:rsidR="00F86AEC">
        <w:rPr>
          <w:rFonts w:ascii="Arial" w:hAnsi="Arial" w:cs="Arial"/>
          <w:bCs/>
        </w:rPr>
        <w:t xml:space="preserve">on how ACE inhibitors perform compared other </w:t>
      </w:r>
      <w:r w:rsidR="007559EB">
        <w:rPr>
          <w:rFonts w:ascii="Arial" w:hAnsi="Arial" w:cs="Arial"/>
          <w:bCs/>
        </w:rPr>
        <w:t xml:space="preserve">hypertension medication. </w:t>
      </w:r>
    </w:p>
    <w:p w14:paraId="7CA78F33" w14:textId="2F0CB1D4" w:rsidR="00BD1222" w:rsidRPr="007F2809" w:rsidRDefault="00BD496A" w:rsidP="007F2809">
      <w:pPr>
        <w:spacing w:beforeLines="100" w:before="240" w:after="20"/>
        <w:rPr>
          <w:rFonts w:ascii="Arial" w:hAnsi="Arial" w:cs="Arial"/>
          <w:bCs/>
        </w:rPr>
      </w:pPr>
      <w:r>
        <w:rPr>
          <w:rFonts w:ascii="Arial" w:hAnsi="Arial" w:cs="Arial"/>
          <w:bCs/>
        </w:rPr>
        <w:t>T</w:t>
      </w:r>
      <w:r w:rsidR="00BD1222">
        <w:rPr>
          <w:rFonts w:ascii="Arial" w:hAnsi="Arial" w:cs="Arial"/>
          <w:bCs/>
        </w:rPr>
        <w:t xml:space="preserve">his study evaluated the risk of all kinds of cancers. However, </w:t>
      </w:r>
      <w:r w:rsidR="00BD03FA">
        <w:rPr>
          <w:rFonts w:ascii="Arial" w:hAnsi="Arial" w:cs="Arial"/>
          <w:bCs/>
        </w:rPr>
        <w:t xml:space="preserve">the effects of ACE inhibitors or ARBs on cancer development may be biased. For example, there are studies </w:t>
      </w:r>
      <w:r w:rsidR="009A6005">
        <w:rPr>
          <w:rFonts w:ascii="Arial" w:hAnsi="Arial" w:cs="Arial"/>
          <w:bCs/>
        </w:rPr>
        <w:t xml:space="preserve">showing an increased risk of lung cancer related to ACE inhibitors. </w:t>
      </w:r>
      <w:r w:rsidR="009A6005">
        <w:rPr>
          <w:rFonts w:ascii="Arial" w:hAnsi="Arial" w:cs="Arial"/>
          <w:bCs/>
        </w:rPr>
        <w:t>The concern about the relation between ACE inhibitors and lung cancer is because of the buildup of bradykinin and substance P in the lung. These two chemicals are often found in the tissue of lung cancer patients and bradykinin is said to stimulate the growth of cancer cells</w:t>
      </w:r>
      <w:r w:rsidR="009A6005">
        <w:rPr>
          <w:rFonts w:ascii="Arial" w:hAnsi="Arial" w:cs="Arial"/>
          <w:bCs/>
        </w:rPr>
        <w:t xml:space="preserve"> </w:t>
      </w:r>
      <w:r w:rsidR="009A6005">
        <w:rPr>
          <w:rFonts w:ascii="Arial" w:hAnsi="Arial" w:cs="Arial"/>
          <w:bCs/>
        </w:rPr>
        <w:fldChar w:fldCharType="begin" w:fldLock="1"/>
      </w:r>
      <w:r w:rsidR="009A6005">
        <w:rPr>
          <w:rFonts w:ascii="Arial" w:hAnsi="Arial" w:cs="Arial"/>
          <w:bCs/>
        </w:rPr>
        <w:instrText>ADDIN CSL_CITATION {"citationItems":[{"id":"ITEM-1","itemData":{"DOI":"10.1002/ijc.10142","ISSN":"00207136","abstract":"Bradykinin (BK) has multiple pathophysiologic functions such as induction of vascular permeability and mitogenesis, and it triggers the release of other mediators such as nitric oxide in inflammatory and cancer tissues. To explore the pathophysiologic roles of BK in tumor, we examined the distribution of BK B2 receptors in human adenocarcinoma (lung, stomach), lymphoma (lymph node), hepatoma, squamous cell carcinoma (lung) and carcinoid (duodenum), and in mouse colon adenocarcinoma 38 (C-38) and sarcoma 180 (S-180) tumor tissues. Immunohistochemical staining of tumor tissues with an anti-BK B2 receptor antibody, or autoradiography with the B2 receptor antagonist [125I]HOE 140 (D,Arg-[Hyp Thi D-Tic Oic8]-BK) and the B2 receptor agonist [3H]BK indicated the presence of B2 receptors in all human tumor cells and murine S-180 and C-38 cells. Specific binding of [3H]HOE 140 was observed in S-180 cells with a Kd of 2.1 nM. Binding of [125I]HOE 140 to S-180 cells was competed by an excess amount (20,100 times) of nonradiolabeled HOE 140 or BK, but not by BK B1 receptor agonist des-Arg9-BK. These results provide direct evidence that the BK B2 receptor is expressed in human cancer and experimental murine tumors, which suggests a potential role for BK in inducing pathologic signal transduction in cancer growth and progression, nitric oxide production and vascular permeability enhancement in tumors. BK antagonists may thus have applications in the modulation of cancer growth and in paraneoplastic syndromes. © 2002 WiIey-Liss, Inc.","author":[{"dropping-particle":"","family":"Wu","given":"Jun","non-dropping-particle":"","parse-names":false,"suffix":""},{"dropping-particle":"","family":"Akaike","given":"Takaaki","non-dropping-particle":"","parse-names":false,"suffix":""},{"dropping-particle":"","family":"Hayashida","given":"Kazuyuki","non-dropping-particle":"","parse-names":false,"suffix":""},{"dropping-particle":"","family":"Miyamoto","given":"Yoichi","non-dropping-particle":"","parse-names":false,"suffix":""},{"dropping-particle":"","family":"Nakagawa","given":"Takenobu","non-dropping-particle":"","parse-names":false,"suffix":""},{"dropping-particle":"","family":"Miyakawa","given":"Kazuhisa","non-dropping-particle":"","parse-names":false,"suffix":""},{"dropping-particle":"","family":"Müller-Esterl","given":"Werner","non-dropping-particle":"","parse-names":false,"suffix":""},{"dropping-particle":"","family":"Maeda","given":"Hiroshi","non-dropping-particle":"","parse-names":false,"suffix":""}],"container-title":"International Journal of Cancer","id":"ITEM-1","issue":"1","issued":{"date-parts":[["2002"]]},"page":"29-35","title":"Identification of bradykinin receptors in clinical cancer specimens and murine tumor tissues","type":"article-journal","volume":"98"},"uris":["http://www.mendeley.com/documents/?uuid=92faa7de-a9fb-4bd7-84bc-685624dd54ba"]}],"mendeley":{"formattedCitation":"(Wu et al., 2002)","plainTextFormattedCitation":"(Wu et al., 2002)","previouslyFormattedCitation":"(Wu et al., 2002)"},"properties":{"noteIndex":0},"schema":"https://github.com/citation-style-language/schema/raw/master/csl-citation.json"}</w:instrText>
      </w:r>
      <w:r w:rsidR="009A6005">
        <w:rPr>
          <w:rFonts w:ascii="Arial" w:hAnsi="Arial" w:cs="Arial"/>
          <w:bCs/>
        </w:rPr>
        <w:fldChar w:fldCharType="separate"/>
      </w:r>
      <w:r w:rsidR="009A6005" w:rsidRPr="009A6005">
        <w:rPr>
          <w:rFonts w:ascii="Arial" w:hAnsi="Arial" w:cs="Arial"/>
          <w:bCs/>
          <w:noProof/>
        </w:rPr>
        <w:t>(Wu et al., 2002)</w:t>
      </w:r>
      <w:r w:rsidR="009A6005">
        <w:rPr>
          <w:rFonts w:ascii="Arial" w:hAnsi="Arial" w:cs="Arial"/>
          <w:bCs/>
        </w:rPr>
        <w:fldChar w:fldCharType="end"/>
      </w:r>
      <w:r w:rsidR="009A6005">
        <w:rPr>
          <w:rFonts w:ascii="Arial" w:hAnsi="Arial" w:cs="Arial"/>
          <w:bCs/>
        </w:rPr>
        <w:t xml:space="preserve">. </w:t>
      </w:r>
      <w:r w:rsidR="009A6005">
        <w:rPr>
          <w:rFonts w:ascii="Arial" w:hAnsi="Arial" w:cs="Arial"/>
          <w:bCs/>
        </w:rPr>
        <w:t xml:space="preserve">Recently, there have been some population-based cohort studies on the risk of lung cancer in patients with ACE inhibitors. One example is Hicks and the team’s work. They confirmed the association of ACE </w:t>
      </w:r>
      <w:r w:rsidR="009A6005">
        <w:rPr>
          <w:rFonts w:ascii="Arial" w:hAnsi="Arial" w:cs="Arial"/>
          <w:bCs/>
        </w:rPr>
        <w:lastRenderedPageBreak/>
        <w:t>inhibitors to higher lung cancer risk, compared to angiotensin receptor blockers</w:t>
      </w:r>
      <w:r w:rsidR="009A6005">
        <w:rPr>
          <w:rFonts w:ascii="Arial" w:hAnsi="Arial" w:cs="Arial"/>
          <w:bCs/>
        </w:rPr>
        <w:t xml:space="preserve"> </w:t>
      </w:r>
      <w:r w:rsidR="009A6005">
        <w:rPr>
          <w:rFonts w:ascii="Arial" w:hAnsi="Arial" w:cs="Arial"/>
          <w:bCs/>
        </w:rPr>
        <w:fldChar w:fldCharType="begin" w:fldLock="1"/>
      </w:r>
      <w:r w:rsidR="003F65B2">
        <w:rPr>
          <w:rFonts w:ascii="Arial" w:hAnsi="Arial" w:cs="Arial"/>
          <w:bCs/>
        </w:rPr>
        <w:instrText>ADDIN CSL_CITATION {"citationItems":[{"id":"ITEM-1","itemData":{"DOI":"10.1136/bmj.k4209","ISSN":"17561833","abstract":"Objective To determine whether the use of angiotensin converting enzyme inhibitors (ACEIs), compared with use of angiotensin receptor blockers, is associated with an increased risk of lung cancer. Design Population based cohort study. Setting United Kingdom Clinical Practice Research Datalink. Participants A cohort of 992 061 patients newly treated with antihypertensive drugs between 1 January 1995 and 31 December 2015 was identified and followed until 31 December 2016. Main outcome measures Cox proportional hazards models were used to estimate adjusted hazard ratios with 95% confidence intervals of incident lung cancer associated with the time varying use of ACEIs, compared with use of angiotensin receptor blockers, overall, by cumulative duration of use, and by time since initiation. Results The cohort was followed for a mean of 6.4 (SD 4.7) years, generating 7952 incident lung cancer events (crude incidence 1.3 (95% confidence interval 1.2 to 1.3) per 1000 person years). Overall, use of ACEIs was associated with an increased risk of lung cancer (incidence rate 1.6 v 1.2 per 1000 person years; hazard ratio 1.14, 95% confidence interval 1.01 to 1.29), compared with use of angiotensin receptor blockers. Hazard ratios gradually increased with longer durations of use, with an association evident after five years of use (hazard ratio 1.22, 1.06 to 1.40) and peaking after more than 10 years of use (1.31, 1.08 to 1.59). Similar findings were observed with time since initiation. Conclusions In this population based cohort study, the use of ACEIs was associated with an increased risk of lung cancer. The association was particularly elevated among people using ACEIs for more than five years. Additional studies, with long term follow-up, are needed to investigate the effects of these drugs on incidence of lung cancer.","author":[{"dropping-particle":"","family":"Hicks","given":"Blánaid M.","non-dropping-particle":"","parse-names":false,"suffix":""},{"dropping-particle":"","family":"Filion","given":"Kristian B.","non-dropping-particle":"","parse-names":false,"suffix":""},{"dropping-particle":"","family":"Yin","given":"Hui","non-dropping-particle":"","parse-names":false,"suffix":""},{"dropping-particle":"","family":"Sakr","given":"Lama","non-dropping-particle":"","parse-names":false,"suffix":""},{"dropping-particle":"","family":"Udell","given":"Jacob A.","non-dropping-particle":"","parse-names":false,"suffix":""},{"dropping-particle":"","family":"Azoulay","given":"Laurent","non-dropping-particle":"","parse-names":false,"suffix":""}],"container-title":"BMJ (Online)","id":"ITEM-1","issued":{"date-parts":[["2018"]]},"page":"1-8","title":"Angiotensin converting enzyme inhibitors and risk of lung cancer: Population based cohort study","type":"article-journal","volume":"363"},"uris":["http://www.mendeley.com/documents/?uuid=8d46c4c8-f8e5-4c8c-b069-513032329f09"]}],"mendeley":{"formattedCitation":"(Hicks et al., 2018)","plainTextFormattedCitation":"(Hicks et al., 2018)","previouslyFormattedCitation":"(Hicks et al., 2018)"},"properties":{"noteIndex":0},"schema":"https://github.com/citation-style-language/schema/raw/master/csl-citation.json"}</w:instrText>
      </w:r>
      <w:r w:rsidR="009A6005">
        <w:rPr>
          <w:rFonts w:ascii="Arial" w:hAnsi="Arial" w:cs="Arial"/>
          <w:bCs/>
        </w:rPr>
        <w:fldChar w:fldCharType="separate"/>
      </w:r>
      <w:r w:rsidR="009A6005" w:rsidRPr="009A6005">
        <w:rPr>
          <w:rFonts w:ascii="Arial" w:hAnsi="Arial" w:cs="Arial"/>
          <w:bCs/>
          <w:noProof/>
        </w:rPr>
        <w:t>(Hicks et al., 2018)</w:t>
      </w:r>
      <w:r w:rsidR="009A6005">
        <w:rPr>
          <w:rFonts w:ascii="Arial" w:hAnsi="Arial" w:cs="Arial"/>
          <w:bCs/>
        </w:rPr>
        <w:fldChar w:fldCharType="end"/>
      </w:r>
      <w:r w:rsidR="009A6005">
        <w:rPr>
          <w:rFonts w:ascii="Arial" w:hAnsi="Arial" w:cs="Arial"/>
          <w:bCs/>
        </w:rPr>
        <w:t xml:space="preserve">. </w:t>
      </w:r>
      <w:r>
        <w:rPr>
          <w:rFonts w:ascii="Arial" w:hAnsi="Arial" w:cs="Arial"/>
          <w:bCs/>
        </w:rPr>
        <w:t xml:space="preserve">Moreover, different ACE inhibitors or ARBs could have different influence on cancer development. </w:t>
      </w:r>
    </w:p>
    <w:p w14:paraId="30CE40BC" w14:textId="77777777" w:rsidR="007F2809" w:rsidRDefault="006C7A64" w:rsidP="004D226C">
      <w:pPr>
        <w:pStyle w:val="Header4"/>
        <w:tabs>
          <w:tab w:val="left" w:pos="2393"/>
        </w:tabs>
        <w:rPr>
          <w:u w:val="none"/>
        </w:rPr>
      </w:pPr>
      <w:r>
        <w:rPr>
          <w:u w:val="none"/>
        </w:rPr>
        <w:t>Conclusion</w:t>
      </w:r>
    </w:p>
    <w:p w14:paraId="1E823EAF" w14:textId="2F4965A2" w:rsidR="006C7A64" w:rsidRDefault="007F2809" w:rsidP="004D226C">
      <w:pPr>
        <w:pStyle w:val="Header4"/>
        <w:tabs>
          <w:tab w:val="left" w:pos="2393"/>
        </w:tabs>
        <w:rPr>
          <w:u w:val="none"/>
        </w:rPr>
      </w:pPr>
      <w:r>
        <w:rPr>
          <w:b w:val="0"/>
          <w:bCs/>
          <w:u w:val="none"/>
        </w:rPr>
        <w:t xml:space="preserve">This study showed that the relative risk of cancer development was lower among </w:t>
      </w:r>
      <w:r w:rsidR="00C10F35">
        <w:rPr>
          <w:b w:val="0"/>
          <w:bCs/>
          <w:u w:val="none"/>
        </w:rPr>
        <w:t xml:space="preserve">patients exposed to </w:t>
      </w:r>
      <w:r>
        <w:rPr>
          <w:b w:val="0"/>
          <w:bCs/>
          <w:u w:val="none"/>
        </w:rPr>
        <w:t>ACE inhibitors than among</w:t>
      </w:r>
      <w:r w:rsidR="00C10F35">
        <w:rPr>
          <w:b w:val="0"/>
          <w:bCs/>
          <w:u w:val="none"/>
        </w:rPr>
        <w:t xml:space="preserve"> patients exposed to</w:t>
      </w:r>
      <w:r>
        <w:rPr>
          <w:b w:val="0"/>
          <w:bCs/>
          <w:u w:val="none"/>
        </w:rPr>
        <w:t xml:space="preserve"> ARBs</w:t>
      </w:r>
      <w:r w:rsidR="000B78C0">
        <w:rPr>
          <w:b w:val="0"/>
          <w:bCs/>
          <w:u w:val="none"/>
        </w:rPr>
        <w:t xml:space="preserve">, with restriction in the provided dataset. </w:t>
      </w:r>
      <w:r w:rsidR="004D226C">
        <w:rPr>
          <w:u w:val="none"/>
        </w:rPr>
        <w:tab/>
      </w:r>
    </w:p>
    <w:p w14:paraId="43913B71" w14:textId="4743243C" w:rsidR="004D226C" w:rsidRPr="006C7A64" w:rsidRDefault="004D226C" w:rsidP="004D226C">
      <w:pPr>
        <w:pStyle w:val="Header4"/>
        <w:tabs>
          <w:tab w:val="left" w:pos="2393"/>
        </w:tabs>
        <w:rPr>
          <w:u w:val="none"/>
        </w:rPr>
      </w:pPr>
      <w:r>
        <w:rPr>
          <w:u w:val="none"/>
        </w:rPr>
        <w:t xml:space="preserve">References </w:t>
      </w:r>
    </w:p>
    <w:p w14:paraId="3B1EF120" w14:textId="6CF89944" w:rsidR="00772CE0" w:rsidRPr="00772CE0" w:rsidRDefault="0081074E" w:rsidP="00772CE0">
      <w:pPr>
        <w:widowControl w:val="0"/>
        <w:autoSpaceDE w:val="0"/>
        <w:autoSpaceDN w:val="0"/>
        <w:adjustRightInd w:val="0"/>
        <w:spacing w:before="120" w:after="120"/>
        <w:ind w:left="480" w:hanging="480"/>
        <w:rPr>
          <w:rFonts w:ascii="Arial" w:hAnsi="Arial" w:cs="Arial"/>
          <w:noProof/>
        </w:rPr>
      </w:pPr>
      <w:r>
        <w:rPr>
          <w:rFonts w:ascii="Arial" w:hAnsi="Arial" w:cs="Arial"/>
          <w:bCs/>
        </w:rPr>
        <w:fldChar w:fldCharType="begin" w:fldLock="1"/>
      </w:r>
      <w:r>
        <w:rPr>
          <w:rFonts w:ascii="Arial" w:hAnsi="Arial" w:cs="Arial"/>
          <w:bCs/>
        </w:rPr>
        <w:instrText xml:space="preserve">ADDIN Mendeley Bibliography CSL_BIBLIOGRAPHY </w:instrText>
      </w:r>
      <w:r>
        <w:rPr>
          <w:rFonts w:ascii="Arial" w:hAnsi="Arial" w:cs="Arial"/>
          <w:bCs/>
        </w:rPr>
        <w:fldChar w:fldCharType="separate"/>
      </w:r>
      <w:r w:rsidR="00772CE0" w:rsidRPr="00772CE0">
        <w:rPr>
          <w:rFonts w:ascii="Arial" w:hAnsi="Arial" w:cs="Arial"/>
          <w:noProof/>
        </w:rPr>
        <w:t>Angiotensin-converting enzyme (ACE) inhibitors - Mayo Clinic. (n.d.). Retrieved February 2, 2020, from https://www.mayoclinic.org/diseases-conditions/high-blood-pressure/in-depth/ace-inhibitors/art-20047480</w:t>
      </w:r>
    </w:p>
    <w:p w14:paraId="2D1536BD" w14:textId="77777777" w:rsidR="00772CE0" w:rsidRPr="00772CE0" w:rsidRDefault="00772CE0" w:rsidP="00772CE0">
      <w:pPr>
        <w:widowControl w:val="0"/>
        <w:autoSpaceDE w:val="0"/>
        <w:autoSpaceDN w:val="0"/>
        <w:adjustRightInd w:val="0"/>
        <w:spacing w:before="120" w:after="120"/>
        <w:ind w:left="480" w:hanging="480"/>
        <w:rPr>
          <w:rFonts w:ascii="Arial" w:hAnsi="Arial" w:cs="Arial"/>
          <w:noProof/>
        </w:rPr>
      </w:pPr>
      <w:r w:rsidRPr="00772CE0">
        <w:rPr>
          <w:rFonts w:ascii="Arial" w:hAnsi="Arial" w:cs="Arial"/>
          <w:noProof/>
        </w:rPr>
        <w:t>ATC code C09 - Wikipedia. (n.d.). Retrieved February 15, 2020, from https://en.wikipedia.org/wiki/ATC_code_C09#C09C_Angiotensin_II_receptor_blockers_(ARBs),_plain</w:t>
      </w:r>
    </w:p>
    <w:p w14:paraId="21E1A988" w14:textId="77777777" w:rsidR="00772CE0" w:rsidRPr="00772CE0" w:rsidRDefault="00772CE0" w:rsidP="00772CE0">
      <w:pPr>
        <w:widowControl w:val="0"/>
        <w:autoSpaceDE w:val="0"/>
        <w:autoSpaceDN w:val="0"/>
        <w:adjustRightInd w:val="0"/>
        <w:spacing w:before="120" w:after="120"/>
        <w:ind w:left="480" w:hanging="480"/>
        <w:rPr>
          <w:rFonts w:ascii="Arial" w:hAnsi="Arial" w:cs="Arial"/>
          <w:noProof/>
        </w:rPr>
      </w:pPr>
      <w:r w:rsidRPr="00772CE0">
        <w:rPr>
          <w:rFonts w:ascii="Arial" w:hAnsi="Arial" w:cs="Arial"/>
          <w:noProof/>
        </w:rPr>
        <w:t xml:space="preserve">Chiang, Y. Y., Chen, K. B., Tsai, T. H., &amp; Tsai, W. C. (2014). Lowered Cancer Risk With ACE Inhibitors/ARBs: A Population-Based Cohort Study. </w:t>
      </w:r>
      <w:r w:rsidRPr="00772CE0">
        <w:rPr>
          <w:rFonts w:ascii="Arial" w:hAnsi="Arial" w:cs="Arial"/>
          <w:i/>
          <w:iCs/>
          <w:noProof/>
        </w:rPr>
        <w:t>Journal of Clinical Hypertension</w:t>
      </w:r>
      <w:r w:rsidRPr="00772CE0">
        <w:rPr>
          <w:rFonts w:ascii="Arial" w:hAnsi="Arial" w:cs="Arial"/>
          <w:noProof/>
        </w:rPr>
        <w:t xml:space="preserve">, </w:t>
      </w:r>
      <w:r w:rsidRPr="00772CE0">
        <w:rPr>
          <w:rFonts w:ascii="Arial" w:hAnsi="Arial" w:cs="Arial"/>
          <w:i/>
          <w:iCs/>
          <w:noProof/>
        </w:rPr>
        <w:t>16</w:t>
      </w:r>
      <w:r w:rsidRPr="00772CE0">
        <w:rPr>
          <w:rFonts w:ascii="Arial" w:hAnsi="Arial" w:cs="Arial"/>
          <w:noProof/>
        </w:rPr>
        <w:t>(1), 27–33. https://doi.org/10.1111/jch.12228</w:t>
      </w:r>
    </w:p>
    <w:p w14:paraId="69319B13" w14:textId="77777777" w:rsidR="00772CE0" w:rsidRPr="00772CE0" w:rsidRDefault="00772CE0" w:rsidP="00772CE0">
      <w:pPr>
        <w:widowControl w:val="0"/>
        <w:autoSpaceDE w:val="0"/>
        <w:autoSpaceDN w:val="0"/>
        <w:adjustRightInd w:val="0"/>
        <w:spacing w:before="120" w:after="120"/>
        <w:ind w:left="480" w:hanging="480"/>
        <w:rPr>
          <w:rFonts w:ascii="Arial" w:hAnsi="Arial" w:cs="Arial"/>
          <w:noProof/>
        </w:rPr>
      </w:pPr>
      <w:r w:rsidRPr="00772CE0">
        <w:rPr>
          <w:rFonts w:ascii="Arial" w:hAnsi="Arial" w:cs="Arial"/>
          <w:noProof/>
        </w:rPr>
        <w:t>Concept: Angiotensin Converting Enzyme (ACE) Inhibitors and Angiotensin Receptor Blocker (ARB) Prescriptions - Defined. (n.d.). Retrieved February 15, 2020, from http://mchp-appserv.cpe.umanitoba.ca/viewConcept.php?printer=Y&amp;conceptID=1473</w:t>
      </w:r>
    </w:p>
    <w:p w14:paraId="2F170B7C" w14:textId="77777777" w:rsidR="00772CE0" w:rsidRPr="00772CE0" w:rsidRDefault="00772CE0" w:rsidP="00772CE0">
      <w:pPr>
        <w:widowControl w:val="0"/>
        <w:autoSpaceDE w:val="0"/>
        <w:autoSpaceDN w:val="0"/>
        <w:adjustRightInd w:val="0"/>
        <w:spacing w:before="120" w:after="120"/>
        <w:ind w:left="480" w:hanging="480"/>
        <w:rPr>
          <w:rFonts w:ascii="Arial" w:hAnsi="Arial" w:cs="Arial"/>
          <w:noProof/>
        </w:rPr>
      </w:pPr>
      <w:r w:rsidRPr="00772CE0">
        <w:rPr>
          <w:rFonts w:ascii="Arial" w:hAnsi="Arial" w:cs="Arial"/>
          <w:noProof/>
        </w:rPr>
        <w:t>Concept: Hypertension - Measuring Prevalence. (n.d.). Retrieved February 13, 2020, from http://mchp-appserv.cpe.umanitoba.ca/viewConcept.php?printer=Y&amp;conceptID=1087</w:t>
      </w:r>
    </w:p>
    <w:p w14:paraId="222056E3" w14:textId="77777777" w:rsidR="00772CE0" w:rsidRPr="00772CE0" w:rsidRDefault="00772CE0" w:rsidP="00772CE0">
      <w:pPr>
        <w:widowControl w:val="0"/>
        <w:autoSpaceDE w:val="0"/>
        <w:autoSpaceDN w:val="0"/>
        <w:adjustRightInd w:val="0"/>
        <w:spacing w:before="120" w:after="120"/>
        <w:ind w:left="480" w:hanging="480"/>
        <w:rPr>
          <w:rFonts w:ascii="Arial" w:hAnsi="Arial" w:cs="Arial"/>
          <w:noProof/>
        </w:rPr>
      </w:pPr>
      <w:r w:rsidRPr="00772CE0">
        <w:rPr>
          <w:rFonts w:ascii="Arial" w:hAnsi="Arial" w:cs="Arial"/>
          <w:noProof/>
        </w:rPr>
        <w:t xml:space="preserve">Cordonnier, D. J., Zaoui, P., &amp; Halimi, S. (2001). Role of ACE Inhibitors in Patients with Diabetes Mellitus. </w:t>
      </w:r>
      <w:r w:rsidRPr="00772CE0">
        <w:rPr>
          <w:rFonts w:ascii="Arial" w:hAnsi="Arial" w:cs="Arial"/>
          <w:i/>
          <w:iCs/>
          <w:noProof/>
        </w:rPr>
        <w:t>Drugs</w:t>
      </w:r>
      <w:r w:rsidRPr="00772CE0">
        <w:rPr>
          <w:rFonts w:ascii="Arial" w:hAnsi="Arial" w:cs="Arial"/>
          <w:noProof/>
        </w:rPr>
        <w:t xml:space="preserve">, </w:t>
      </w:r>
      <w:r w:rsidRPr="00772CE0">
        <w:rPr>
          <w:rFonts w:ascii="Arial" w:hAnsi="Arial" w:cs="Arial"/>
          <w:i/>
          <w:iCs/>
          <w:noProof/>
        </w:rPr>
        <w:t>61</w:t>
      </w:r>
      <w:r w:rsidRPr="00772CE0">
        <w:rPr>
          <w:rFonts w:ascii="Arial" w:hAnsi="Arial" w:cs="Arial"/>
          <w:noProof/>
        </w:rPr>
        <w:t>(13), 1883–1892. https://doi.org/10.2165/00003495-200161130-00001</w:t>
      </w:r>
    </w:p>
    <w:p w14:paraId="4DB1F6D7" w14:textId="77777777" w:rsidR="00772CE0" w:rsidRPr="00772CE0" w:rsidRDefault="00772CE0" w:rsidP="00772CE0">
      <w:pPr>
        <w:widowControl w:val="0"/>
        <w:autoSpaceDE w:val="0"/>
        <w:autoSpaceDN w:val="0"/>
        <w:adjustRightInd w:val="0"/>
        <w:spacing w:before="120" w:after="120"/>
        <w:ind w:left="480" w:hanging="480"/>
        <w:rPr>
          <w:rFonts w:ascii="Arial" w:hAnsi="Arial" w:cs="Arial"/>
          <w:noProof/>
        </w:rPr>
      </w:pPr>
      <w:r w:rsidRPr="00772CE0">
        <w:rPr>
          <w:rFonts w:ascii="Arial" w:hAnsi="Arial" w:cs="Arial"/>
          <w:noProof/>
        </w:rPr>
        <w:t xml:space="preserve">Dalal, K. S., &amp; Bridgeman, M. B. (2017). Cardiovascular drugs. </w:t>
      </w:r>
      <w:r w:rsidRPr="00772CE0">
        <w:rPr>
          <w:rFonts w:ascii="Arial" w:hAnsi="Arial" w:cs="Arial"/>
          <w:i/>
          <w:iCs/>
          <w:noProof/>
        </w:rPr>
        <w:t>Nursing</w:t>
      </w:r>
      <w:r w:rsidRPr="00772CE0">
        <w:rPr>
          <w:rFonts w:ascii="Arial" w:hAnsi="Arial" w:cs="Arial"/>
          <w:noProof/>
        </w:rPr>
        <w:t xml:space="preserve">, </w:t>
      </w:r>
      <w:r w:rsidRPr="00772CE0">
        <w:rPr>
          <w:rFonts w:ascii="Arial" w:hAnsi="Arial" w:cs="Arial"/>
          <w:i/>
          <w:iCs/>
          <w:noProof/>
        </w:rPr>
        <w:t>47</w:t>
      </w:r>
      <w:r w:rsidRPr="00772CE0">
        <w:rPr>
          <w:rFonts w:ascii="Arial" w:hAnsi="Arial" w:cs="Arial"/>
          <w:noProof/>
        </w:rPr>
        <w:t>(11), 63. https://doi.org/10.1097/01.NURSE.0000524762.35753.23</w:t>
      </w:r>
    </w:p>
    <w:p w14:paraId="3F576EAC" w14:textId="77777777" w:rsidR="00772CE0" w:rsidRPr="00772CE0" w:rsidRDefault="00772CE0" w:rsidP="00772CE0">
      <w:pPr>
        <w:widowControl w:val="0"/>
        <w:autoSpaceDE w:val="0"/>
        <w:autoSpaceDN w:val="0"/>
        <w:adjustRightInd w:val="0"/>
        <w:spacing w:before="120" w:after="120"/>
        <w:ind w:left="480" w:hanging="480"/>
        <w:rPr>
          <w:rFonts w:ascii="Arial" w:hAnsi="Arial" w:cs="Arial"/>
          <w:noProof/>
        </w:rPr>
      </w:pPr>
      <w:r w:rsidRPr="00772CE0">
        <w:rPr>
          <w:rFonts w:ascii="Arial" w:hAnsi="Arial" w:cs="Arial"/>
          <w:noProof/>
        </w:rPr>
        <w:t xml:space="preserve">Danaei, G., Vander Hoorn, S., Lopez, A. D., Murray, C. J. L., &amp; Ezzati, M. (2005). Causes of cancer in the world: Comparative risk assessment of nine behavioural and environmental risk factors. </w:t>
      </w:r>
      <w:r w:rsidRPr="00772CE0">
        <w:rPr>
          <w:rFonts w:ascii="Arial" w:hAnsi="Arial" w:cs="Arial"/>
          <w:i/>
          <w:iCs/>
          <w:noProof/>
        </w:rPr>
        <w:t>Lancet</w:t>
      </w:r>
      <w:r w:rsidRPr="00772CE0">
        <w:rPr>
          <w:rFonts w:ascii="Arial" w:hAnsi="Arial" w:cs="Arial"/>
          <w:noProof/>
        </w:rPr>
        <w:t xml:space="preserve">, </w:t>
      </w:r>
      <w:r w:rsidRPr="00772CE0">
        <w:rPr>
          <w:rFonts w:ascii="Arial" w:hAnsi="Arial" w:cs="Arial"/>
          <w:i/>
          <w:iCs/>
          <w:noProof/>
        </w:rPr>
        <w:t>366</w:t>
      </w:r>
      <w:r w:rsidRPr="00772CE0">
        <w:rPr>
          <w:rFonts w:ascii="Arial" w:hAnsi="Arial" w:cs="Arial"/>
          <w:noProof/>
        </w:rPr>
        <w:t>(9499), 1784–1793. https://doi.org/10.1016/S0140-6736(05)67725-2</w:t>
      </w:r>
    </w:p>
    <w:p w14:paraId="183D8ACA" w14:textId="77777777" w:rsidR="00772CE0" w:rsidRPr="00772CE0" w:rsidRDefault="00772CE0" w:rsidP="00772CE0">
      <w:pPr>
        <w:widowControl w:val="0"/>
        <w:autoSpaceDE w:val="0"/>
        <w:autoSpaceDN w:val="0"/>
        <w:adjustRightInd w:val="0"/>
        <w:spacing w:before="120" w:after="120"/>
        <w:ind w:left="480" w:hanging="480"/>
        <w:rPr>
          <w:rFonts w:ascii="Arial" w:hAnsi="Arial" w:cs="Arial"/>
          <w:noProof/>
        </w:rPr>
      </w:pPr>
      <w:r w:rsidRPr="00772CE0">
        <w:rPr>
          <w:rFonts w:ascii="Arial" w:hAnsi="Arial" w:cs="Arial"/>
          <w:noProof/>
        </w:rPr>
        <w:t xml:space="preserve">Helmer, A., Slater, N., &amp; Smithgall, S. (2018). A Review of ACE Inhibitors and ARBs in Black Patients With Hypertension. </w:t>
      </w:r>
      <w:r w:rsidRPr="00772CE0">
        <w:rPr>
          <w:rFonts w:ascii="Arial" w:hAnsi="Arial" w:cs="Arial"/>
          <w:i/>
          <w:iCs/>
          <w:noProof/>
        </w:rPr>
        <w:t>Annals of Pharmacotherapy</w:t>
      </w:r>
      <w:r w:rsidRPr="00772CE0">
        <w:rPr>
          <w:rFonts w:ascii="Arial" w:hAnsi="Arial" w:cs="Arial"/>
          <w:noProof/>
        </w:rPr>
        <w:t xml:space="preserve">, </w:t>
      </w:r>
      <w:r w:rsidRPr="00772CE0">
        <w:rPr>
          <w:rFonts w:ascii="Arial" w:hAnsi="Arial" w:cs="Arial"/>
          <w:i/>
          <w:iCs/>
          <w:noProof/>
        </w:rPr>
        <w:t>52</w:t>
      </w:r>
      <w:r w:rsidRPr="00772CE0">
        <w:rPr>
          <w:rFonts w:ascii="Arial" w:hAnsi="Arial" w:cs="Arial"/>
          <w:noProof/>
        </w:rPr>
        <w:t>(11), 1143–1151. https://doi.org/10.1177/1060028018779082</w:t>
      </w:r>
    </w:p>
    <w:p w14:paraId="0C0213BE" w14:textId="77777777" w:rsidR="00772CE0" w:rsidRPr="00772CE0" w:rsidRDefault="00772CE0" w:rsidP="00772CE0">
      <w:pPr>
        <w:widowControl w:val="0"/>
        <w:autoSpaceDE w:val="0"/>
        <w:autoSpaceDN w:val="0"/>
        <w:adjustRightInd w:val="0"/>
        <w:spacing w:before="120" w:after="120"/>
        <w:ind w:left="480" w:hanging="480"/>
        <w:rPr>
          <w:rFonts w:ascii="Arial" w:hAnsi="Arial" w:cs="Arial"/>
          <w:noProof/>
        </w:rPr>
      </w:pPr>
      <w:r w:rsidRPr="00772CE0">
        <w:rPr>
          <w:rFonts w:ascii="Arial" w:hAnsi="Arial" w:cs="Arial"/>
          <w:noProof/>
        </w:rPr>
        <w:t xml:space="preserve">Hicks, B. M., Filion, K. B., Yin, H., Sakr, L., Udell, J. A., &amp; Azoulay, L. (2018). Angiotensin converting enzyme inhibitors and risk of lung cancer: Population based cohort study. </w:t>
      </w:r>
      <w:r w:rsidRPr="00772CE0">
        <w:rPr>
          <w:rFonts w:ascii="Arial" w:hAnsi="Arial" w:cs="Arial"/>
          <w:i/>
          <w:iCs/>
          <w:noProof/>
        </w:rPr>
        <w:t>BMJ (Online)</w:t>
      </w:r>
      <w:r w:rsidRPr="00772CE0">
        <w:rPr>
          <w:rFonts w:ascii="Arial" w:hAnsi="Arial" w:cs="Arial"/>
          <w:noProof/>
        </w:rPr>
        <w:t xml:space="preserve">, </w:t>
      </w:r>
      <w:r w:rsidRPr="00772CE0">
        <w:rPr>
          <w:rFonts w:ascii="Arial" w:hAnsi="Arial" w:cs="Arial"/>
          <w:i/>
          <w:iCs/>
          <w:noProof/>
        </w:rPr>
        <w:t>363</w:t>
      </w:r>
      <w:r w:rsidRPr="00772CE0">
        <w:rPr>
          <w:rFonts w:ascii="Arial" w:hAnsi="Arial" w:cs="Arial"/>
          <w:noProof/>
        </w:rPr>
        <w:t>, 1–8. https://doi.org/10.1136/bmj.k4209</w:t>
      </w:r>
    </w:p>
    <w:p w14:paraId="46BC27E1" w14:textId="77777777" w:rsidR="00772CE0" w:rsidRPr="00772CE0" w:rsidRDefault="00772CE0" w:rsidP="00772CE0">
      <w:pPr>
        <w:widowControl w:val="0"/>
        <w:autoSpaceDE w:val="0"/>
        <w:autoSpaceDN w:val="0"/>
        <w:adjustRightInd w:val="0"/>
        <w:spacing w:before="120" w:after="120"/>
        <w:ind w:left="480" w:hanging="480"/>
        <w:rPr>
          <w:rFonts w:ascii="Arial" w:hAnsi="Arial" w:cs="Arial"/>
          <w:noProof/>
        </w:rPr>
      </w:pPr>
      <w:r w:rsidRPr="00772CE0">
        <w:rPr>
          <w:rFonts w:ascii="Arial" w:hAnsi="Arial" w:cs="Arial"/>
          <w:noProof/>
        </w:rPr>
        <w:t>High blood pressure (hypertension) - Diagnosis and treatment - Mayo Clinic. (n.d.). Retrieved February 2, 2020, from https://www.mayoclinic.org/diseases-conditions/high-blood-pressure/diagnosis-treatment/drc-20373417</w:t>
      </w:r>
    </w:p>
    <w:p w14:paraId="3B52C3FF" w14:textId="77777777" w:rsidR="00772CE0" w:rsidRPr="00772CE0" w:rsidRDefault="00772CE0" w:rsidP="00772CE0">
      <w:pPr>
        <w:widowControl w:val="0"/>
        <w:autoSpaceDE w:val="0"/>
        <w:autoSpaceDN w:val="0"/>
        <w:adjustRightInd w:val="0"/>
        <w:spacing w:before="120" w:after="120"/>
        <w:ind w:left="480" w:hanging="480"/>
        <w:rPr>
          <w:rFonts w:ascii="Arial" w:hAnsi="Arial" w:cs="Arial"/>
          <w:noProof/>
        </w:rPr>
      </w:pPr>
      <w:r w:rsidRPr="00772CE0">
        <w:rPr>
          <w:rFonts w:ascii="Arial" w:hAnsi="Arial" w:cs="Arial"/>
          <w:noProof/>
        </w:rPr>
        <w:lastRenderedPageBreak/>
        <w:t xml:space="preserve">IARC. (2012). Chemical agents and related occupations - Volume 100 F: A review of human carcinogens. </w:t>
      </w:r>
      <w:r w:rsidRPr="00772CE0">
        <w:rPr>
          <w:rFonts w:ascii="Arial" w:hAnsi="Arial" w:cs="Arial"/>
          <w:i/>
          <w:iCs/>
          <w:noProof/>
        </w:rPr>
        <w:t>International Agency for Research on Cancer</w:t>
      </w:r>
      <w:r w:rsidRPr="00772CE0">
        <w:rPr>
          <w:rFonts w:ascii="Arial" w:hAnsi="Arial" w:cs="Arial"/>
          <w:noProof/>
        </w:rPr>
        <w:t xml:space="preserve">, </w:t>
      </w:r>
      <w:r w:rsidRPr="00772CE0">
        <w:rPr>
          <w:rFonts w:ascii="Arial" w:hAnsi="Arial" w:cs="Arial"/>
          <w:i/>
          <w:iCs/>
          <w:noProof/>
        </w:rPr>
        <w:t>Vol. 100F</w:t>
      </w:r>
      <w:r w:rsidRPr="00772CE0">
        <w:rPr>
          <w:rFonts w:ascii="Arial" w:hAnsi="Arial" w:cs="Arial"/>
          <w:noProof/>
        </w:rPr>
        <w:t>(December), 628.</w:t>
      </w:r>
    </w:p>
    <w:p w14:paraId="7135DEA2" w14:textId="77777777" w:rsidR="00772CE0" w:rsidRPr="00772CE0" w:rsidRDefault="00772CE0" w:rsidP="00772CE0">
      <w:pPr>
        <w:widowControl w:val="0"/>
        <w:autoSpaceDE w:val="0"/>
        <w:autoSpaceDN w:val="0"/>
        <w:adjustRightInd w:val="0"/>
        <w:spacing w:before="120" w:after="120"/>
        <w:ind w:left="480" w:hanging="480"/>
        <w:rPr>
          <w:rFonts w:ascii="Arial" w:hAnsi="Arial" w:cs="Arial"/>
          <w:noProof/>
        </w:rPr>
      </w:pPr>
      <w:r w:rsidRPr="00772CE0">
        <w:rPr>
          <w:rFonts w:ascii="Arial" w:hAnsi="Arial" w:cs="Arial"/>
          <w:noProof/>
        </w:rPr>
        <w:t xml:space="preserve">Kantner, T. R. (1992). ACE inhibitors in congestive heart failure. </w:t>
      </w:r>
      <w:r w:rsidRPr="00772CE0">
        <w:rPr>
          <w:rFonts w:ascii="Arial" w:hAnsi="Arial" w:cs="Arial"/>
          <w:i/>
          <w:iCs/>
          <w:noProof/>
        </w:rPr>
        <w:t>Journal of Family Practice</w:t>
      </w:r>
      <w:r w:rsidRPr="00772CE0">
        <w:rPr>
          <w:rFonts w:ascii="Arial" w:hAnsi="Arial" w:cs="Arial"/>
          <w:noProof/>
        </w:rPr>
        <w:t xml:space="preserve">, </w:t>
      </w:r>
      <w:r w:rsidRPr="00772CE0">
        <w:rPr>
          <w:rFonts w:ascii="Arial" w:hAnsi="Arial" w:cs="Arial"/>
          <w:i/>
          <w:iCs/>
          <w:noProof/>
        </w:rPr>
        <w:t>35</w:t>
      </w:r>
      <w:r w:rsidRPr="00772CE0">
        <w:rPr>
          <w:rFonts w:ascii="Arial" w:hAnsi="Arial" w:cs="Arial"/>
          <w:noProof/>
        </w:rPr>
        <w:t>(3), 305–314.</w:t>
      </w:r>
    </w:p>
    <w:p w14:paraId="3AAAD441" w14:textId="77777777" w:rsidR="00772CE0" w:rsidRPr="00772CE0" w:rsidRDefault="00772CE0" w:rsidP="00772CE0">
      <w:pPr>
        <w:widowControl w:val="0"/>
        <w:autoSpaceDE w:val="0"/>
        <w:autoSpaceDN w:val="0"/>
        <w:adjustRightInd w:val="0"/>
        <w:spacing w:before="120" w:after="120"/>
        <w:ind w:left="480" w:hanging="480"/>
        <w:rPr>
          <w:rFonts w:ascii="Arial" w:hAnsi="Arial" w:cs="Arial"/>
          <w:noProof/>
        </w:rPr>
      </w:pPr>
      <w:r w:rsidRPr="00772CE0">
        <w:rPr>
          <w:rFonts w:ascii="Arial" w:hAnsi="Arial" w:cs="Arial"/>
          <w:noProof/>
        </w:rPr>
        <w:t xml:space="preserve">Li, F. X., Robson, P. J., Chen, Y., Qiu, Z., Lo Siou, G., &amp; Bryant, H. E. (2009). Prevalence, trend, and sociodemographic association of five modifiable lifestyle risk factors for cancer in Alberta and Canada. </w:t>
      </w:r>
      <w:r w:rsidRPr="00772CE0">
        <w:rPr>
          <w:rFonts w:ascii="Arial" w:hAnsi="Arial" w:cs="Arial"/>
          <w:i/>
          <w:iCs/>
          <w:noProof/>
        </w:rPr>
        <w:t>Cancer Causes and Control</w:t>
      </w:r>
      <w:r w:rsidRPr="00772CE0">
        <w:rPr>
          <w:rFonts w:ascii="Arial" w:hAnsi="Arial" w:cs="Arial"/>
          <w:noProof/>
        </w:rPr>
        <w:t xml:space="preserve">, </w:t>
      </w:r>
      <w:r w:rsidRPr="00772CE0">
        <w:rPr>
          <w:rFonts w:ascii="Arial" w:hAnsi="Arial" w:cs="Arial"/>
          <w:i/>
          <w:iCs/>
          <w:noProof/>
        </w:rPr>
        <w:t>20</w:t>
      </w:r>
      <w:r w:rsidRPr="00772CE0">
        <w:rPr>
          <w:rFonts w:ascii="Arial" w:hAnsi="Arial" w:cs="Arial"/>
          <w:noProof/>
        </w:rPr>
        <w:t>(3), 395–407. https://doi.org/10.1007/s10552-008-9254-2</w:t>
      </w:r>
    </w:p>
    <w:p w14:paraId="469D8E91" w14:textId="77777777" w:rsidR="00772CE0" w:rsidRPr="00772CE0" w:rsidRDefault="00772CE0" w:rsidP="00772CE0">
      <w:pPr>
        <w:widowControl w:val="0"/>
        <w:autoSpaceDE w:val="0"/>
        <w:autoSpaceDN w:val="0"/>
        <w:adjustRightInd w:val="0"/>
        <w:spacing w:before="120" w:after="120"/>
        <w:ind w:left="480" w:hanging="480"/>
        <w:rPr>
          <w:rFonts w:ascii="Arial" w:hAnsi="Arial" w:cs="Arial"/>
          <w:noProof/>
        </w:rPr>
      </w:pPr>
      <w:r w:rsidRPr="00772CE0">
        <w:rPr>
          <w:rFonts w:ascii="Arial" w:hAnsi="Arial" w:cs="Arial"/>
          <w:noProof/>
        </w:rPr>
        <w:t xml:space="preserve">Martin, U., Foreman, M. A., Travis, J. C., Casson, D., &amp; Coleman, J. J. (2008). Use of ACE inhibitors and ARBs in hypertensive women of childbearing age. </w:t>
      </w:r>
      <w:r w:rsidRPr="00772CE0">
        <w:rPr>
          <w:rFonts w:ascii="Arial" w:hAnsi="Arial" w:cs="Arial"/>
          <w:i/>
          <w:iCs/>
          <w:noProof/>
        </w:rPr>
        <w:t>Journal of Clinical Pharmacy and Therapeutics</w:t>
      </w:r>
      <w:r w:rsidRPr="00772CE0">
        <w:rPr>
          <w:rFonts w:ascii="Arial" w:hAnsi="Arial" w:cs="Arial"/>
          <w:noProof/>
        </w:rPr>
        <w:t xml:space="preserve">, </w:t>
      </w:r>
      <w:r w:rsidRPr="00772CE0">
        <w:rPr>
          <w:rFonts w:ascii="Arial" w:hAnsi="Arial" w:cs="Arial"/>
          <w:i/>
          <w:iCs/>
          <w:noProof/>
        </w:rPr>
        <w:t>33</w:t>
      </w:r>
      <w:r w:rsidRPr="00772CE0">
        <w:rPr>
          <w:rFonts w:ascii="Arial" w:hAnsi="Arial" w:cs="Arial"/>
          <w:noProof/>
        </w:rPr>
        <w:t>(5), 507–511. https://doi.org/10.1111/j.1365-2710.2008.00938.x</w:t>
      </w:r>
    </w:p>
    <w:p w14:paraId="2573190F" w14:textId="77777777" w:rsidR="00772CE0" w:rsidRPr="00772CE0" w:rsidRDefault="00772CE0" w:rsidP="00772CE0">
      <w:pPr>
        <w:widowControl w:val="0"/>
        <w:autoSpaceDE w:val="0"/>
        <w:autoSpaceDN w:val="0"/>
        <w:adjustRightInd w:val="0"/>
        <w:spacing w:before="120" w:after="120"/>
        <w:ind w:left="480" w:hanging="480"/>
        <w:rPr>
          <w:rFonts w:ascii="Arial" w:hAnsi="Arial" w:cs="Arial"/>
          <w:noProof/>
        </w:rPr>
      </w:pPr>
      <w:r w:rsidRPr="00772CE0">
        <w:rPr>
          <w:rFonts w:ascii="Arial" w:hAnsi="Arial" w:cs="Arial"/>
          <w:noProof/>
        </w:rPr>
        <w:t>Medicare Claims Synthetic Public Use Files (SynPUFs) | CMS. (n.d.). Retrieved March 5, 2020, from https://www.cms.gov/Research-Statistics-Data-and-Systems/Downloadable-Public-Use-Files/SynPUFs</w:t>
      </w:r>
    </w:p>
    <w:p w14:paraId="4B9519C2" w14:textId="77777777" w:rsidR="00772CE0" w:rsidRPr="00772CE0" w:rsidRDefault="00772CE0" w:rsidP="00772CE0">
      <w:pPr>
        <w:widowControl w:val="0"/>
        <w:autoSpaceDE w:val="0"/>
        <w:autoSpaceDN w:val="0"/>
        <w:adjustRightInd w:val="0"/>
        <w:spacing w:before="120" w:after="120"/>
        <w:ind w:left="480" w:hanging="480"/>
        <w:rPr>
          <w:rFonts w:ascii="Arial" w:hAnsi="Arial" w:cs="Arial"/>
          <w:noProof/>
        </w:rPr>
      </w:pPr>
      <w:r w:rsidRPr="00772CE0">
        <w:rPr>
          <w:rFonts w:ascii="Arial" w:hAnsi="Arial" w:cs="Arial"/>
          <w:noProof/>
        </w:rPr>
        <w:t>OHDSI/CohortMethod: An R package for performing new-user cohort studies in an observational database in the OMOP Common Data Model. (n.d.). Retrieved March 6, 2020, from https://github.com/OHDSI/CohortMethod</w:t>
      </w:r>
    </w:p>
    <w:p w14:paraId="320A01FE" w14:textId="77777777" w:rsidR="00772CE0" w:rsidRPr="00772CE0" w:rsidRDefault="00772CE0" w:rsidP="00772CE0">
      <w:pPr>
        <w:widowControl w:val="0"/>
        <w:autoSpaceDE w:val="0"/>
        <w:autoSpaceDN w:val="0"/>
        <w:adjustRightInd w:val="0"/>
        <w:spacing w:before="120" w:after="120"/>
        <w:ind w:left="480" w:hanging="480"/>
        <w:rPr>
          <w:rFonts w:ascii="Arial" w:hAnsi="Arial" w:cs="Arial"/>
          <w:noProof/>
        </w:rPr>
      </w:pPr>
      <w:r w:rsidRPr="00772CE0">
        <w:rPr>
          <w:rFonts w:ascii="Arial" w:hAnsi="Arial" w:cs="Arial"/>
          <w:noProof/>
        </w:rPr>
        <w:t xml:space="preserve">Opelz, G., &amp; Döhler, B. (2011). Treatment of kidney transplant recipients with acei/arb and risk of respiratory tract cancer: A collaborative transplant study report. </w:t>
      </w:r>
      <w:r w:rsidRPr="00772CE0">
        <w:rPr>
          <w:rFonts w:ascii="Arial" w:hAnsi="Arial" w:cs="Arial"/>
          <w:i/>
          <w:iCs/>
          <w:noProof/>
        </w:rPr>
        <w:t>American Journal of Transplantation</w:t>
      </w:r>
      <w:r w:rsidRPr="00772CE0">
        <w:rPr>
          <w:rFonts w:ascii="Arial" w:hAnsi="Arial" w:cs="Arial"/>
          <w:noProof/>
        </w:rPr>
        <w:t xml:space="preserve">, </w:t>
      </w:r>
      <w:r w:rsidRPr="00772CE0">
        <w:rPr>
          <w:rFonts w:ascii="Arial" w:hAnsi="Arial" w:cs="Arial"/>
          <w:i/>
          <w:iCs/>
          <w:noProof/>
        </w:rPr>
        <w:t>11</w:t>
      </w:r>
      <w:r w:rsidRPr="00772CE0">
        <w:rPr>
          <w:rFonts w:ascii="Arial" w:hAnsi="Arial" w:cs="Arial"/>
          <w:noProof/>
        </w:rPr>
        <w:t>(11), 2483–2489. https://doi.org/10.1111/j.1600-6143.2011.03681.x</w:t>
      </w:r>
    </w:p>
    <w:p w14:paraId="44FB30EF" w14:textId="77777777" w:rsidR="00772CE0" w:rsidRPr="00772CE0" w:rsidRDefault="00772CE0" w:rsidP="00772CE0">
      <w:pPr>
        <w:widowControl w:val="0"/>
        <w:autoSpaceDE w:val="0"/>
        <w:autoSpaceDN w:val="0"/>
        <w:adjustRightInd w:val="0"/>
        <w:spacing w:before="120" w:after="120"/>
        <w:ind w:left="480" w:hanging="480"/>
        <w:rPr>
          <w:rFonts w:ascii="Arial" w:hAnsi="Arial" w:cs="Arial"/>
          <w:noProof/>
        </w:rPr>
      </w:pPr>
      <w:r w:rsidRPr="00772CE0">
        <w:rPr>
          <w:rFonts w:ascii="Arial" w:hAnsi="Arial" w:cs="Arial"/>
          <w:noProof/>
        </w:rPr>
        <w:t xml:space="preserve">Roldan, C. J., Song, J., Engle, M. P., &amp; Dougherty, P. M. (2017). Angiotensin-converting enzyme inhibitors and angiotensin receptor blockers modulate the function of myelinated fibers after chemotherapy: A quantitative sensory testing study. </w:t>
      </w:r>
      <w:r w:rsidRPr="00772CE0">
        <w:rPr>
          <w:rFonts w:ascii="Arial" w:hAnsi="Arial" w:cs="Arial"/>
          <w:i/>
          <w:iCs/>
          <w:noProof/>
        </w:rPr>
        <w:t>Pain Physician</w:t>
      </w:r>
      <w:r w:rsidRPr="00772CE0">
        <w:rPr>
          <w:rFonts w:ascii="Arial" w:hAnsi="Arial" w:cs="Arial"/>
          <w:noProof/>
        </w:rPr>
        <w:t xml:space="preserve">, </w:t>
      </w:r>
      <w:r w:rsidRPr="00772CE0">
        <w:rPr>
          <w:rFonts w:ascii="Arial" w:hAnsi="Arial" w:cs="Arial"/>
          <w:i/>
          <w:iCs/>
          <w:noProof/>
        </w:rPr>
        <w:t>20</w:t>
      </w:r>
      <w:r w:rsidRPr="00772CE0">
        <w:rPr>
          <w:rFonts w:ascii="Arial" w:hAnsi="Arial" w:cs="Arial"/>
          <w:noProof/>
        </w:rPr>
        <w:t>(4), 281–292. https://doi.org/10.36076/ppj.2017.292</w:t>
      </w:r>
    </w:p>
    <w:p w14:paraId="73911B7C" w14:textId="77777777" w:rsidR="00772CE0" w:rsidRPr="00772CE0" w:rsidRDefault="00772CE0" w:rsidP="00772CE0">
      <w:pPr>
        <w:widowControl w:val="0"/>
        <w:autoSpaceDE w:val="0"/>
        <w:autoSpaceDN w:val="0"/>
        <w:adjustRightInd w:val="0"/>
        <w:spacing w:before="120" w:after="120"/>
        <w:ind w:left="480" w:hanging="480"/>
        <w:rPr>
          <w:rFonts w:ascii="Arial" w:hAnsi="Arial" w:cs="Arial"/>
          <w:noProof/>
        </w:rPr>
      </w:pPr>
      <w:r w:rsidRPr="00772CE0">
        <w:rPr>
          <w:rFonts w:ascii="Arial" w:hAnsi="Arial" w:cs="Arial"/>
          <w:noProof/>
        </w:rPr>
        <w:t xml:space="preserve">Sipahi, I., Debanne, S. M., Rowland, D. Y., Simon, D. I., &amp; Fang, J. C. (2014). </w:t>
      </w:r>
      <w:r w:rsidRPr="00772CE0">
        <w:rPr>
          <w:rFonts w:ascii="Arial" w:hAnsi="Arial" w:cs="Arial"/>
          <w:i/>
          <w:iCs/>
          <w:noProof/>
        </w:rPr>
        <w:t>Angiotensin-receptor blockade and risk of cancer: meta-analysis of randomised controlled trials</w:t>
      </w:r>
      <w:r w:rsidRPr="00772CE0">
        <w:rPr>
          <w:rFonts w:ascii="Arial" w:hAnsi="Arial" w:cs="Arial"/>
          <w:noProof/>
        </w:rPr>
        <w:t xml:space="preserve">. </w:t>
      </w:r>
      <w:r w:rsidRPr="00772CE0">
        <w:rPr>
          <w:rFonts w:ascii="Arial" w:hAnsi="Arial" w:cs="Arial"/>
          <w:i/>
          <w:iCs/>
          <w:noProof/>
        </w:rPr>
        <w:t>11</w:t>
      </w:r>
      <w:r w:rsidRPr="00772CE0">
        <w:rPr>
          <w:rFonts w:ascii="Arial" w:hAnsi="Arial" w:cs="Arial"/>
          <w:noProof/>
        </w:rPr>
        <w:t>(7), 627–636. https://doi.org/10.1016/S1470-2045(10)70106-6.Angiotensin-receptor</w:t>
      </w:r>
    </w:p>
    <w:p w14:paraId="20D85C02" w14:textId="77777777" w:rsidR="00772CE0" w:rsidRPr="00772CE0" w:rsidRDefault="00772CE0" w:rsidP="00772CE0">
      <w:pPr>
        <w:widowControl w:val="0"/>
        <w:autoSpaceDE w:val="0"/>
        <w:autoSpaceDN w:val="0"/>
        <w:adjustRightInd w:val="0"/>
        <w:spacing w:before="120" w:after="120"/>
        <w:ind w:left="480" w:hanging="480"/>
        <w:rPr>
          <w:rFonts w:ascii="Arial" w:hAnsi="Arial" w:cs="Arial"/>
          <w:noProof/>
        </w:rPr>
      </w:pPr>
      <w:r w:rsidRPr="00772CE0">
        <w:rPr>
          <w:rFonts w:ascii="Arial" w:hAnsi="Arial" w:cs="Arial"/>
          <w:noProof/>
        </w:rPr>
        <w:t>Smoking May Negate Renal Protective Effects of ACE Inhibitors - MPR. (n.d.). Retrieved February 2, 2020, from https://www.empr.com/home/news/smoking-may-negate-renal-protective-effects-of-ace-inhibitors/</w:t>
      </w:r>
    </w:p>
    <w:p w14:paraId="274E8B39" w14:textId="77777777" w:rsidR="00772CE0" w:rsidRPr="00772CE0" w:rsidRDefault="00772CE0" w:rsidP="00772CE0">
      <w:pPr>
        <w:widowControl w:val="0"/>
        <w:autoSpaceDE w:val="0"/>
        <w:autoSpaceDN w:val="0"/>
        <w:adjustRightInd w:val="0"/>
        <w:spacing w:before="120" w:after="120"/>
        <w:ind w:left="480" w:hanging="480"/>
        <w:rPr>
          <w:rFonts w:ascii="Arial" w:hAnsi="Arial" w:cs="Arial"/>
          <w:noProof/>
        </w:rPr>
      </w:pPr>
      <w:r w:rsidRPr="00772CE0">
        <w:rPr>
          <w:rFonts w:ascii="Arial" w:hAnsi="Arial" w:cs="Arial"/>
          <w:noProof/>
        </w:rPr>
        <w:t xml:space="preserve">Tanaka, N., Miyajima, A., Kikuchi, E., Matsumoto, K., Hagiwara, M., Ide, H., … Oya, M. (2012). Prognonstic impact of renin-angiotensin system blockade in localised upper-tract urothelial carcinoma. </w:t>
      </w:r>
      <w:r w:rsidRPr="00772CE0">
        <w:rPr>
          <w:rFonts w:ascii="Arial" w:hAnsi="Arial" w:cs="Arial"/>
          <w:i/>
          <w:iCs/>
          <w:noProof/>
        </w:rPr>
        <w:t>British Journal of Cancer</w:t>
      </w:r>
      <w:r w:rsidRPr="00772CE0">
        <w:rPr>
          <w:rFonts w:ascii="Arial" w:hAnsi="Arial" w:cs="Arial"/>
          <w:noProof/>
        </w:rPr>
        <w:t xml:space="preserve">, </w:t>
      </w:r>
      <w:r w:rsidRPr="00772CE0">
        <w:rPr>
          <w:rFonts w:ascii="Arial" w:hAnsi="Arial" w:cs="Arial"/>
          <w:i/>
          <w:iCs/>
          <w:noProof/>
        </w:rPr>
        <w:t>106</w:t>
      </w:r>
      <w:r w:rsidRPr="00772CE0">
        <w:rPr>
          <w:rFonts w:ascii="Arial" w:hAnsi="Arial" w:cs="Arial"/>
          <w:noProof/>
        </w:rPr>
        <w:t>(2), 290–296. https://doi.org/10.1038/bjc.2011.565</w:t>
      </w:r>
    </w:p>
    <w:p w14:paraId="0B3FE306" w14:textId="77777777" w:rsidR="00772CE0" w:rsidRPr="00772CE0" w:rsidRDefault="00772CE0" w:rsidP="00772CE0">
      <w:pPr>
        <w:widowControl w:val="0"/>
        <w:autoSpaceDE w:val="0"/>
        <w:autoSpaceDN w:val="0"/>
        <w:adjustRightInd w:val="0"/>
        <w:spacing w:before="120" w:after="120"/>
        <w:ind w:left="480" w:hanging="480"/>
        <w:rPr>
          <w:rFonts w:ascii="Arial" w:hAnsi="Arial" w:cs="Arial"/>
          <w:noProof/>
        </w:rPr>
      </w:pPr>
      <w:r w:rsidRPr="00772CE0">
        <w:rPr>
          <w:rFonts w:ascii="Arial" w:hAnsi="Arial" w:cs="Arial"/>
          <w:noProof/>
        </w:rPr>
        <w:t>Types of ACE Inhibitors for Heart Disease Treatment. (n.d.). Retrieved February 2, 2020, from https://www.webmd.com/heart-disease/guide/medicine-ace-inhibitors#1</w:t>
      </w:r>
    </w:p>
    <w:p w14:paraId="2CF52470" w14:textId="77777777" w:rsidR="00772CE0" w:rsidRPr="00772CE0" w:rsidRDefault="00772CE0" w:rsidP="00772CE0">
      <w:pPr>
        <w:widowControl w:val="0"/>
        <w:autoSpaceDE w:val="0"/>
        <w:autoSpaceDN w:val="0"/>
        <w:adjustRightInd w:val="0"/>
        <w:spacing w:before="120" w:after="120"/>
        <w:ind w:left="480" w:hanging="480"/>
        <w:rPr>
          <w:rFonts w:ascii="Arial" w:hAnsi="Arial" w:cs="Arial"/>
          <w:noProof/>
        </w:rPr>
      </w:pPr>
      <w:r w:rsidRPr="00772CE0">
        <w:rPr>
          <w:rFonts w:ascii="Arial" w:hAnsi="Arial" w:cs="Arial"/>
          <w:noProof/>
        </w:rPr>
        <w:t xml:space="preserve">Weiderpass, E. (2010). Lifestyle and cancer risk. </w:t>
      </w:r>
      <w:r w:rsidRPr="00772CE0">
        <w:rPr>
          <w:rFonts w:ascii="Arial" w:hAnsi="Arial" w:cs="Arial"/>
          <w:i/>
          <w:iCs/>
          <w:noProof/>
        </w:rPr>
        <w:t>Journal of Preventive Medicine and Public Health</w:t>
      </w:r>
      <w:r w:rsidRPr="00772CE0">
        <w:rPr>
          <w:rFonts w:ascii="Arial" w:hAnsi="Arial" w:cs="Arial"/>
          <w:noProof/>
        </w:rPr>
        <w:t xml:space="preserve">, </w:t>
      </w:r>
      <w:r w:rsidRPr="00772CE0">
        <w:rPr>
          <w:rFonts w:ascii="Arial" w:hAnsi="Arial" w:cs="Arial"/>
          <w:i/>
          <w:iCs/>
          <w:noProof/>
        </w:rPr>
        <w:t>43</w:t>
      </w:r>
      <w:r w:rsidRPr="00772CE0">
        <w:rPr>
          <w:rFonts w:ascii="Arial" w:hAnsi="Arial" w:cs="Arial"/>
          <w:noProof/>
        </w:rPr>
        <w:t>(6), 459–471. https://doi.org/10.3961/jpmph.2010.43.6.459</w:t>
      </w:r>
    </w:p>
    <w:p w14:paraId="5383AC8F" w14:textId="77777777" w:rsidR="00772CE0" w:rsidRPr="00772CE0" w:rsidRDefault="00772CE0" w:rsidP="00772CE0">
      <w:pPr>
        <w:widowControl w:val="0"/>
        <w:autoSpaceDE w:val="0"/>
        <w:autoSpaceDN w:val="0"/>
        <w:adjustRightInd w:val="0"/>
        <w:spacing w:before="120" w:after="120"/>
        <w:ind w:left="480" w:hanging="480"/>
        <w:rPr>
          <w:rFonts w:ascii="Arial" w:hAnsi="Arial" w:cs="Arial"/>
          <w:noProof/>
        </w:rPr>
      </w:pPr>
      <w:r w:rsidRPr="00772CE0">
        <w:rPr>
          <w:rFonts w:ascii="Arial" w:hAnsi="Arial" w:cs="Arial"/>
          <w:noProof/>
        </w:rPr>
        <w:t xml:space="preserve">Wu, J., Akaike, T., Hayashida, K., Miyamoto, Y., Nakagawa, T., Miyakawa, K., … </w:t>
      </w:r>
      <w:r w:rsidRPr="00772CE0">
        <w:rPr>
          <w:rFonts w:ascii="Arial" w:hAnsi="Arial" w:cs="Arial"/>
          <w:noProof/>
        </w:rPr>
        <w:lastRenderedPageBreak/>
        <w:t xml:space="preserve">Maeda, H. (2002). Identification of bradykinin receptors in clinical cancer specimens and murine tumor tissues. </w:t>
      </w:r>
      <w:r w:rsidRPr="00772CE0">
        <w:rPr>
          <w:rFonts w:ascii="Arial" w:hAnsi="Arial" w:cs="Arial"/>
          <w:i/>
          <w:iCs/>
          <w:noProof/>
        </w:rPr>
        <w:t>International Journal of Cancer</w:t>
      </w:r>
      <w:r w:rsidRPr="00772CE0">
        <w:rPr>
          <w:rFonts w:ascii="Arial" w:hAnsi="Arial" w:cs="Arial"/>
          <w:noProof/>
        </w:rPr>
        <w:t xml:space="preserve">, </w:t>
      </w:r>
      <w:r w:rsidRPr="00772CE0">
        <w:rPr>
          <w:rFonts w:ascii="Arial" w:hAnsi="Arial" w:cs="Arial"/>
          <w:i/>
          <w:iCs/>
          <w:noProof/>
        </w:rPr>
        <w:t>98</w:t>
      </w:r>
      <w:r w:rsidRPr="00772CE0">
        <w:rPr>
          <w:rFonts w:ascii="Arial" w:hAnsi="Arial" w:cs="Arial"/>
          <w:noProof/>
        </w:rPr>
        <w:t>(1), 29–35. https://doi.org/10.1002/ijc.10142</w:t>
      </w:r>
    </w:p>
    <w:p w14:paraId="08ACC5C9" w14:textId="7FED2468" w:rsidR="006858E2" w:rsidRDefault="0081074E" w:rsidP="0081074E">
      <w:pPr>
        <w:pStyle w:val="ListParagraph"/>
        <w:spacing w:before="120" w:after="120"/>
        <w:ind w:left="360"/>
        <w:rPr>
          <w:rFonts w:ascii="Arial" w:hAnsi="Arial" w:cs="Arial"/>
          <w:bCs/>
        </w:rPr>
      </w:pPr>
      <w:r>
        <w:rPr>
          <w:rFonts w:ascii="Arial" w:hAnsi="Arial" w:cs="Arial"/>
          <w:bCs/>
        </w:rPr>
        <w:fldChar w:fldCharType="end"/>
      </w:r>
    </w:p>
    <w:p w14:paraId="4305F9EC" w14:textId="1F4CA88E" w:rsidR="000A4F2B" w:rsidRPr="00783B3C" w:rsidRDefault="000A4F2B" w:rsidP="00783B3C">
      <w:pPr>
        <w:rPr>
          <w:rFonts w:ascii="Arial" w:hAnsi="Arial" w:cs="Arial"/>
          <w:b/>
          <w:u w:val="single"/>
        </w:rPr>
      </w:pPr>
    </w:p>
    <w:p w14:paraId="01D7C258" w14:textId="0B610757" w:rsidR="00431067" w:rsidRDefault="00431067" w:rsidP="009A13CA">
      <w:pPr>
        <w:spacing w:beforeLines="100" w:before="240" w:after="20"/>
        <w:rPr>
          <w:rFonts w:ascii="Arial" w:hAnsi="Arial" w:cs="Arial"/>
          <w:b/>
          <w:u w:val="single"/>
        </w:rPr>
      </w:pPr>
    </w:p>
    <w:p w14:paraId="76603169" w14:textId="351896E1" w:rsidR="001A7519" w:rsidRPr="001A7519" w:rsidRDefault="001A7519" w:rsidP="001A7519">
      <w:pPr>
        <w:spacing w:line="0" w:lineRule="atLeast"/>
        <w:rPr>
          <w:rFonts w:ascii="Arial" w:hAnsi="Arial" w:cs="Arial"/>
          <w:bCs/>
          <w:sz w:val="18"/>
          <w:szCs w:val="18"/>
        </w:rPr>
      </w:pPr>
    </w:p>
    <w:sectPr w:rsidR="001A7519" w:rsidRPr="001A7519" w:rsidSect="006C4A8D">
      <w:headerReference w:type="default" r:id="rId22"/>
      <w:footerReference w:type="default" r:id="rId23"/>
      <w:headerReference w:type="first" r:id="rId24"/>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E2E9EC" w14:textId="77777777" w:rsidR="00EA5A28" w:rsidRDefault="00EA5A28" w:rsidP="008166B3">
      <w:r>
        <w:separator/>
      </w:r>
    </w:p>
  </w:endnote>
  <w:endnote w:type="continuationSeparator" w:id="0">
    <w:p w14:paraId="607884B3" w14:textId="77777777" w:rsidR="00EA5A28" w:rsidRDefault="00EA5A28" w:rsidP="008166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B1EF2D" w14:textId="77777777" w:rsidR="000F4C68" w:rsidRDefault="000F4C68">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7B6FB87D" w14:textId="77777777" w:rsidR="000F4C68" w:rsidRDefault="000F4C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6AC354" w14:textId="77777777" w:rsidR="00EA5A28" w:rsidRDefault="00EA5A28" w:rsidP="008166B3">
      <w:r>
        <w:separator/>
      </w:r>
    </w:p>
  </w:footnote>
  <w:footnote w:type="continuationSeparator" w:id="0">
    <w:p w14:paraId="06BBD207" w14:textId="77777777" w:rsidR="00EA5A28" w:rsidRDefault="00EA5A28" w:rsidP="008166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2E44E7" w14:textId="2A6EA2DD" w:rsidR="000F4C68" w:rsidRDefault="000F4C68">
    <w:pPr>
      <w:pStyle w:val="Header"/>
    </w:pPr>
    <w:r>
      <w:t>Individual Project – D</w:t>
    </w:r>
    <w:r w:rsidR="001E2AFB">
      <w:t>4</w:t>
    </w:r>
    <w:r>
      <w:ptab w:relativeTo="margin" w:alignment="center" w:leader="none"/>
    </w:r>
    <w:r>
      <w:t>Shuyan Huang (shuang379)</w:t>
    </w:r>
    <w:r>
      <w:ptab w:relativeTo="margin" w:alignment="right" w:leader="none"/>
    </w:r>
    <w:r>
      <w:t>2020 Spring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82286" w14:textId="61068E3B" w:rsidR="000F4C68" w:rsidRDefault="000F4C68" w:rsidP="00E048F3">
    <w:pPr>
      <w:pStyle w:val="Header"/>
    </w:pPr>
    <w:r>
      <w:t>Individual Project – D2</w:t>
    </w:r>
    <w:r>
      <w:ptab w:relativeTo="margin" w:alignment="center" w:leader="none"/>
    </w:r>
    <w:r>
      <w:t>Shuyan Huang (shuang379)</w:t>
    </w:r>
    <w:r>
      <w:ptab w:relativeTo="margin" w:alignment="right" w:leader="none"/>
    </w:r>
    <w:r>
      <w:t>2020 Spring</w:t>
    </w:r>
  </w:p>
  <w:p w14:paraId="030AE077" w14:textId="77777777" w:rsidR="000F4C68" w:rsidRDefault="000F4C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610B8"/>
    <w:multiLevelType w:val="hybridMultilevel"/>
    <w:tmpl w:val="1E60C84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F670EC"/>
    <w:multiLevelType w:val="multilevel"/>
    <w:tmpl w:val="F998CB00"/>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E52944"/>
    <w:multiLevelType w:val="hybridMultilevel"/>
    <w:tmpl w:val="45402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400E35"/>
    <w:multiLevelType w:val="hybridMultilevel"/>
    <w:tmpl w:val="25E06DB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019684E"/>
    <w:multiLevelType w:val="multilevel"/>
    <w:tmpl w:val="3B103542"/>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0C6230"/>
    <w:multiLevelType w:val="multilevel"/>
    <w:tmpl w:val="E10E5842"/>
    <w:lvl w:ilvl="0">
      <w:start w:val="1"/>
      <w:numFmt w:val="decimal"/>
      <w:lvlText w:val="%1)"/>
      <w:lvlJc w:val="left"/>
      <w:pPr>
        <w:ind w:left="765" w:hanging="390"/>
      </w:pPr>
      <w:rPr>
        <w:rFonts w:hint="default"/>
      </w:rPr>
    </w:lvl>
    <w:lvl w:ilvl="1">
      <w:start w:val="1"/>
      <w:numFmt w:val="decimal"/>
      <w:lvlText w:val="%2)"/>
      <w:lvlJc w:val="left"/>
      <w:pPr>
        <w:ind w:left="2535" w:hanging="720"/>
      </w:pPr>
      <w:rPr>
        <w:rFonts w:ascii="Arial" w:eastAsia="Times New Roman" w:hAnsi="Arial" w:cs="Arial"/>
      </w:rPr>
    </w:lvl>
    <w:lvl w:ilvl="2">
      <w:start w:val="1"/>
      <w:numFmt w:val="decimal"/>
      <w:lvlText w:val="%1.%2.%3."/>
      <w:lvlJc w:val="left"/>
      <w:pPr>
        <w:ind w:left="3975" w:hanging="720"/>
      </w:pPr>
      <w:rPr>
        <w:rFonts w:hint="default"/>
      </w:rPr>
    </w:lvl>
    <w:lvl w:ilvl="3">
      <w:start w:val="1"/>
      <w:numFmt w:val="decimal"/>
      <w:lvlText w:val="%1.%2.%3.%4."/>
      <w:lvlJc w:val="left"/>
      <w:pPr>
        <w:ind w:left="5775" w:hanging="1080"/>
      </w:pPr>
      <w:rPr>
        <w:rFonts w:hint="default"/>
      </w:rPr>
    </w:lvl>
    <w:lvl w:ilvl="4">
      <w:start w:val="1"/>
      <w:numFmt w:val="decimal"/>
      <w:lvlText w:val="%1.%2.%3.%4.%5."/>
      <w:lvlJc w:val="left"/>
      <w:pPr>
        <w:ind w:left="7215" w:hanging="1080"/>
      </w:pPr>
      <w:rPr>
        <w:rFonts w:hint="default"/>
      </w:rPr>
    </w:lvl>
    <w:lvl w:ilvl="5">
      <w:start w:val="1"/>
      <w:numFmt w:val="decimal"/>
      <w:lvlText w:val="%1.%2.%3.%4.%5.%6."/>
      <w:lvlJc w:val="left"/>
      <w:pPr>
        <w:ind w:left="9015" w:hanging="1440"/>
      </w:pPr>
      <w:rPr>
        <w:rFonts w:hint="default"/>
      </w:rPr>
    </w:lvl>
    <w:lvl w:ilvl="6">
      <w:start w:val="1"/>
      <w:numFmt w:val="decimal"/>
      <w:lvlText w:val="%1.%2.%3.%4.%5.%6.%7."/>
      <w:lvlJc w:val="left"/>
      <w:pPr>
        <w:ind w:left="10455" w:hanging="1440"/>
      </w:pPr>
      <w:rPr>
        <w:rFonts w:hint="default"/>
      </w:rPr>
    </w:lvl>
    <w:lvl w:ilvl="7">
      <w:start w:val="1"/>
      <w:numFmt w:val="decimal"/>
      <w:lvlText w:val="%1.%2.%3.%4.%5.%6.%7.%8."/>
      <w:lvlJc w:val="left"/>
      <w:pPr>
        <w:ind w:left="12255" w:hanging="1800"/>
      </w:pPr>
      <w:rPr>
        <w:rFonts w:hint="default"/>
      </w:rPr>
    </w:lvl>
    <w:lvl w:ilvl="8">
      <w:start w:val="1"/>
      <w:numFmt w:val="decimal"/>
      <w:lvlText w:val="%1.%2.%3.%4.%5.%6.%7.%8.%9."/>
      <w:lvlJc w:val="left"/>
      <w:pPr>
        <w:ind w:left="14055" w:hanging="2160"/>
      </w:pPr>
      <w:rPr>
        <w:rFonts w:hint="default"/>
      </w:rPr>
    </w:lvl>
  </w:abstractNum>
  <w:abstractNum w:abstractNumId="6" w15:restartNumberingAfterBreak="0">
    <w:nsid w:val="345E49CA"/>
    <w:multiLevelType w:val="multilevel"/>
    <w:tmpl w:val="E4E82960"/>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B27EDB"/>
    <w:multiLevelType w:val="hybridMultilevel"/>
    <w:tmpl w:val="A2865DB4"/>
    <w:lvl w:ilvl="0" w:tplc="181AEBC0">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BE052A2"/>
    <w:multiLevelType w:val="hybridMultilevel"/>
    <w:tmpl w:val="28EE7B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E37166B"/>
    <w:multiLevelType w:val="multilevel"/>
    <w:tmpl w:val="E4E82960"/>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9480F69"/>
    <w:multiLevelType w:val="hybridMultilevel"/>
    <w:tmpl w:val="5AC0FD6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76F07F1"/>
    <w:multiLevelType w:val="multilevel"/>
    <w:tmpl w:val="E10E5842"/>
    <w:lvl w:ilvl="0">
      <w:start w:val="1"/>
      <w:numFmt w:val="decimal"/>
      <w:lvlText w:val="%1)"/>
      <w:lvlJc w:val="left"/>
      <w:pPr>
        <w:ind w:left="765" w:hanging="390"/>
      </w:pPr>
      <w:rPr>
        <w:rFonts w:hint="default"/>
      </w:rPr>
    </w:lvl>
    <w:lvl w:ilvl="1">
      <w:start w:val="1"/>
      <w:numFmt w:val="decimal"/>
      <w:lvlText w:val="%2)"/>
      <w:lvlJc w:val="left"/>
      <w:pPr>
        <w:ind w:left="2535" w:hanging="720"/>
      </w:pPr>
      <w:rPr>
        <w:rFonts w:ascii="Arial" w:eastAsia="Times New Roman" w:hAnsi="Arial" w:cs="Arial"/>
      </w:rPr>
    </w:lvl>
    <w:lvl w:ilvl="2">
      <w:start w:val="1"/>
      <w:numFmt w:val="decimal"/>
      <w:lvlText w:val="%1.%2.%3."/>
      <w:lvlJc w:val="left"/>
      <w:pPr>
        <w:ind w:left="3975" w:hanging="720"/>
      </w:pPr>
      <w:rPr>
        <w:rFonts w:hint="default"/>
      </w:rPr>
    </w:lvl>
    <w:lvl w:ilvl="3">
      <w:start w:val="1"/>
      <w:numFmt w:val="decimal"/>
      <w:lvlText w:val="%1.%2.%3.%4."/>
      <w:lvlJc w:val="left"/>
      <w:pPr>
        <w:ind w:left="5775" w:hanging="1080"/>
      </w:pPr>
      <w:rPr>
        <w:rFonts w:hint="default"/>
      </w:rPr>
    </w:lvl>
    <w:lvl w:ilvl="4">
      <w:start w:val="1"/>
      <w:numFmt w:val="decimal"/>
      <w:lvlText w:val="%1.%2.%3.%4.%5."/>
      <w:lvlJc w:val="left"/>
      <w:pPr>
        <w:ind w:left="7215" w:hanging="1080"/>
      </w:pPr>
      <w:rPr>
        <w:rFonts w:hint="default"/>
      </w:rPr>
    </w:lvl>
    <w:lvl w:ilvl="5">
      <w:start w:val="1"/>
      <w:numFmt w:val="decimal"/>
      <w:lvlText w:val="%1.%2.%3.%4.%5.%6."/>
      <w:lvlJc w:val="left"/>
      <w:pPr>
        <w:ind w:left="9015" w:hanging="1440"/>
      </w:pPr>
      <w:rPr>
        <w:rFonts w:hint="default"/>
      </w:rPr>
    </w:lvl>
    <w:lvl w:ilvl="6">
      <w:start w:val="1"/>
      <w:numFmt w:val="decimal"/>
      <w:lvlText w:val="%1.%2.%3.%4.%5.%6.%7."/>
      <w:lvlJc w:val="left"/>
      <w:pPr>
        <w:ind w:left="10455" w:hanging="1440"/>
      </w:pPr>
      <w:rPr>
        <w:rFonts w:hint="default"/>
      </w:rPr>
    </w:lvl>
    <w:lvl w:ilvl="7">
      <w:start w:val="1"/>
      <w:numFmt w:val="decimal"/>
      <w:lvlText w:val="%1.%2.%3.%4.%5.%6.%7.%8."/>
      <w:lvlJc w:val="left"/>
      <w:pPr>
        <w:ind w:left="12255" w:hanging="1800"/>
      </w:pPr>
      <w:rPr>
        <w:rFonts w:hint="default"/>
      </w:rPr>
    </w:lvl>
    <w:lvl w:ilvl="8">
      <w:start w:val="1"/>
      <w:numFmt w:val="decimal"/>
      <w:lvlText w:val="%1.%2.%3.%4.%5.%6.%7.%8.%9."/>
      <w:lvlJc w:val="left"/>
      <w:pPr>
        <w:ind w:left="14055" w:hanging="2160"/>
      </w:pPr>
      <w:rPr>
        <w:rFonts w:hint="default"/>
      </w:rPr>
    </w:lvl>
  </w:abstractNum>
  <w:abstractNum w:abstractNumId="12" w15:restartNumberingAfterBreak="0">
    <w:nsid w:val="581E49F4"/>
    <w:multiLevelType w:val="hybridMultilevel"/>
    <w:tmpl w:val="9148169C"/>
    <w:lvl w:ilvl="0" w:tplc="15C8E2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6A05AC"/>
    <w:multiLevelType w:val="multilevel"/>
    <w:tmpl w:val="E10E5842"/>
    <w:lvl w:ilvl="0">
      <w:start w:val="1"/>
      <w:numFmt w:val="decimal"/>
      <w:lvlText w:val="%1)"/>
      <w:lvlJc w:val="left"/>
      <w:pPr>
        <w:ind w:left="765" w:hanging="390"/>
      </w:pPr>
      <w:rPr>
        <w:rFonts w:hint="default"/>
      </w:rPr>
    </w:lvl>
    <w:lvl w:ilvl="1">
      <w:start w:val="1"/>
      <w:numFmt w:val="decimal"/>
      <w:lvlText w:val="%2)"/>
      <w:lvlJc w:val="left"/>
      <w:pPr>
        <w:ind w:left="2535" w:hanging="720"/>
      </w:pPr>
      <w:rPr>
        <w:rFonts w:ascii="Arial" w:eastAsia="Times New Roman" w:hAnsi="Arial" w:cs="Arial"/>
      </w:rPr>
    </w:lvl>
    <w:lvl w:ilvl="2">
      <w:start w:val="1"/>
      <w:numFmt w:val="decimal"/>
      <w:lvlText w:val="%1.%2.%3."/>
      <w:lvlJc w:val="left"/>
      <w:pPr>
        <w:ind w:left="3975" w:hanging="720"/>
      </w:pPr>
      <w:rPr>
        <w:rFonts w:hint="default"/>
      </w:rPr>
    </w:lvl>
    <w:lvl w:ilvl="3">
      <w:start w:val="1"/>
      <w:numFmt w:val="decimal"/>
      <w:lvlText w:val="%1.%2.%3.%4."/>
      <w:lvlJc w:val="left"/>
      <w:pPr>
        <w:ind w:left="5775" w:hanging="1080"/>
      </w:pPr>
      <w:rPr>
        <w:rFonts w:hint="default"/>
      </w:rPr>
    </w:lvl>
    <w:lvl w:ilvl="4">
      <w:start w:val="1"/>
      <w:numFmt w:val="decimal"/>
      <w:lvlText w:val="%1.%2.%3.%4.%5."/>
      <w:lvlJc w:val="left"/>
      <w:pPr>
        <w:ind w:left="7215" w:hanging="1080"/>
      </w:pPr>
      <w:rPr>
        <w:rFonts w:hint="default"/>
      </w:rPr>
    </w:lvl>
    <w:lvl w:ilvl="5">
      <w:start w:val="1"/>
      <w:numFmt w:val="decimal"/>
      <w:lvlText w:val="%1.%2.%3.%4.%5.%6."/>
      <w:lvlJc w:val="left"/>
      <w:pPr>
        <w:ind w:left="9015" w:hanging="1440"/>
      </w:pPr>
      <w:rPr>
        <w:rFonts w:hint="default"/>
      </w:rPr>
    </w:lvl>
    <w:lvl w:ilvl="6">
      <w:start w:val="1"/>
      <w:numFmt w:val="decimal"/>
      <w:lvlText w:val="%1.%2.%3.%4.%5.%6.%7."/>
      <w:lvlJc w:val="left"/>
      <w:pPr>
        <w:ind w:left="10455" w:hanging="1440"/>
      </w:pPr>
      <w:rPr>
        <w:rFonts w:hint="default"/>
      </w:rPr>
    </w:lvl>
    <w:lvl w:ilvl="7">
      <w:start w:val="1"/>
      <w:numFmt w:val="decimal"/>
      <w:lvlText w:val="%1.%2.%3.%4.%5.%6.%7.%8."/>
      <w:lvlJc w:val="left"/>
      <w:pPr>
        <w:ind w:left="12255" w:hanging="1800"/>
      </w:pPr>
      <w:rPr>
        <w:rFonts w:hint="default"/>
      </w:rPr>
    </w:lvl>
    <w:lvl w:ilvl="8">
      <w:start w:val="1"/>
      <w:numFmt w:val="decimal"/>
      <w:lvlText w:val="%1.%2.%3.%4.%5.%6.%7.%8.%9."/>
      <w:lvlJc w:val="left"/>
      <w:pPr>
        <w:ind w:left="14055" w:hanging="2160"/>
      </w:pPr>
      <w:rPr>
        <w:rFonts w:hint="default"/>
      </w:rPr>
    </w:lvl>
  </w:abstractNum>
  <w:abstractNum w:abstractNumId="14" w15:restartNumberingAfterBreak="0">
    <w:nsid w:val="5DFD7E98"/>
    <w:multiLevelType w:val="multilevel"/>
    <w:tmpl w:val="E6529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A51D69"/>
    <w:multiLevelType w:val="multilevel"/>
    <w:tmpl w:val="F6105BA6"/>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E06C76"/>
    <w:multiLevelType w:val="multilevel"/>
    <w:tmpl w:val="96A0EC8A"/>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0F02713"/>
    <w:multiLevelType w:val="multilevel"/>
    <w:tmpl w:val="E10E5842"/>
    <w:lvl w:ilvl="0">
      <w:start w:val="1"/>
      <w:numFmt w:val="decimal"/>
      <w:lvlText w:val="%1)"/>
      <w:lvlJc w:val="left"/>
      <w:pPr>
        <w:ind w:left="765" w:hanging="390"/>
      </w:pPr>
      <w:rPr>
        <w:rFonts w:hint="default"/>
      </w:rPr>
    </w:lvl>
    <w:lvl w:ilvl="1">
      <w:start w:val="1"/>
      <w:numFmt w:val="decimal"/>
      <w:lvlText w:val="%2)"/>
      <w:lvlJc w:val="left"/>
      <w:pPr>
        <w:ind w:left="2535" w:hanging="720"/>
      </w:pPr>
      <w:rPr>
        <w:rFonts w:ascii="Arial" w:eastAsia="Times New Roman" w:hAnsi="Arial" w:cs="Arial"/>
      </w:rPr>
    </w:lvl>
    <w:lvl w:ilvl="2">
      <w:start w:val="1"/>
      <w:numFmt w:val="decimal"/>
      <w:lvlText w:val="%1.%2.%3."/>
      <w:lvlJc w:val="left"/>
      <w:pPr>
        <w:ind w:left="3975" w:hanging="720"/>
      </w:pPr>
      <w:rPr>
        <w:rFonts w:hint="default"/>
      </w:rPr>
    </w:lvl>
    <w:lvl w:ilvl="3">
      <w:start w:val="1"/>
      <w:numFmt w:val="decimal"/>
      <w:lvlText w:val="%1.%2.%3.%4."/>
      <w:lvlJc w:val="left"/>
      <w:pPr>
        <w:ind w:left="5775" w:hanging="1080"/>
      </w:pPr>
      <w:rPr>
        <w:rFonts w:hint="default"/>
      </w:rPr>
    </w:lvl>
    <w:lvl w:ilvl="4">
      <w:start w:val="1"/>
      <w:numFmt w:val="decimal"/>
      <w:lvlText w:val="%1.%2.%3.%4.%5."/>
      <w:lvlJc w:val="left"/>
      <w:pPr>
        <w:ind w:left="7215" w:hanging="1080"/>
      </w:pPr>
      <w:rPr>
        <w:rFonts w:hint="default"/>
      </w:rPr>
    </w:lvl>
    <w:lvl w:ilvl="5">
      <w:start w:val="1"/>
      <w:numFmt w:val="decimal"/>
      <w:lvlText w:val="%1.%2.%3.%4.%5.%6."/>
      <w:lvlJc w:val="left"/>
      <w:pPr>
        <w:ind w:left="9015" w:hanging="1440"/>
      </w:pPr>
      <w:rPr>
        <w:rFonts w:hint="default"/>
      </w:rPr>
    </w:lvl>
    <w:lvl w:ilvl="6">
      <w:start w:val="1"/>
      <w:numFmt w:val="decimal"/>
      <w:lvlText w:val="%1.%2.%3.%4.%5.%6.%7."/>
      <w:lvlJc w:val="left"/>
      <w:pPr>
        <w:ind w:left="10455" w:hanging="1440"/>
      </w:pPr>
      <w:rPr>
        <w:rFonts w:hint="default"/>
      </w:rPr>
    </w:lvl>
    <w:lvl w:ilvl="7">
      <w:start w:val="1"/>
      <w:numFmt w:val="decimal"/>
      <w:lvlText w:val="%1.%2.%3.%4.%5.%6.%7.%8."/>
      <w:lvlJc w:val="left"/>
      <w:pPr>
        <w:ind w:left="12255" w:hanging="1800"/>
      </w:pPr>
      <w:rPr>
        <w:rFonts w:hint="default"/>
      </w:rPr>
    </w:lvl>
    <w:lvl w:ilvl="8">
      <w:start w:val="1"/>
      <w:numFmt w:val="decimal"/>
      <w:lvlText w:val="%1.%2.%3.%4.%5.%6.%7.%8.%9."/>
      <w:lvlJc w:val="left"/>
      <w:pPr>
        <w:ind w:left="14055" w:hanging="2160"/>
      </w:pPr>
      <w:rPr>
        <w:rFonts w:hint="default"/>
      </w:rPr>
    </w:lvl>
  </w:abstractNum>
  <w:num w:numId="1">
    <w:abstractNumId w:val="6"/>
  </w:num>
  <w:num w:numId="2">
    <w:abstractNumId w:val="14"/>
  </w:num>
  <w:num w:numId="3">
    <w:abstractNumId w:val="5"/>
  </w:num>
  <w:num w:numId="4">
    <w:abstractNumId w:val="17"/>
  </w:num>
  <w:num w:numId="5">
    <w:abstractNumId w:val="13"/>
  </w:num>
  <w:num w:numId="6">
    <w:abstractNumId w:val="11"/>
  </w:num>
  <w:num w:numId="7">
    <w:abstractNumId w:val="1"/>
  </w:num>
  <w:num w:numId="8">
    <w:abstractNumId w:val="16"/>
  </w:num>
  <w:num w:numId="9">
    <w:abstractNumId w:val="9"/>
  </w:num>
  <w:num w:numId="10">
    <w:abstractNumId w:val="15"/>
  </w:num>
  <w:num w:numId="11">
    <w:abstractNumId w:val="4"/>
  </w:num>
  <w:num w:numId="12">
    <w:abstractNumId w:val="12"/>
  </w:num>
  <w:num w:numId="13">
    <w:abstractNumId w:val="2"/>
  </w:num>
  <w:num w:numId="14">
    <w:abstractNumId w:val="8"/>
  </w:num>
  <w:num w:numId="15">
    <w:abstractNumId w:val="0"/>
  </w:num>
  <w:num w:numId="16">
    <w:abstractNumId w:val="10"/>
  </w:num>
  <w:num w:numId="17">
    <w:abstractNumId w:val="3"/>
  </w:num>
  <w:num w:numId="18">
    <w:abstractNumId w:val="7"/>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50wzt9xzxxe01eevp9vftfv2spts0vz0wz2&quot;&gt;SH - Case_Study_3&lt;record-ids&gt;&lt;item&gt;14&lt;/item&gt;&lt;item&gt;15&lt;/item&gt;&lt;item&gt;16&lt;/item&gt;&lt;item&gt;17&lt;/item&gt;&lt;item&gt;18&lt;/item&gt;&lt;item&gt;19&lt;/item&gt;&lt;item&gt;20&lt;/item&gt;&lt;item&gt;21&lt;/item&gt;&lt;item&gt;22&lt;/item&gt;&lt;/record-ids&gt;&lt;/item&gt;&lt;/Libraries&gt;"/>
  </w:docVars>
  <w:rsids>
    <w:rsidRoot w:val="008166B3"/>
    <w:rsid w:val="00000936"/>
    <w:rsid w:val="00001021"/>
    <w:rsid w:val="0000309B"/>
    <w:rsid w:val="000051BA"/>
    <w:rsid w:val="00005704"/>
    <w:rsid w:val="000115ED"/>
    <w:rsid w:val="00011633"/>
    <w:rsid w:val="00012118"/>
    <w:rsid w:val="000122D2"/>
    <w:rsid w:val="00017D87"/>
    <w:rsid w:val="00022968"/>
    <w:rsid w:val="00023944"/>
    <w:rsid w:val="000259A3"/>
    <w:rsid w:val="00031975"/>
    <w:rsid w:val="00033BEF"/>
    <w:rsid w:val="0003582F"/>
    <w:rsid w:val="00035BC2"/>
    <w:rsid w:val="00037EFE"/>
    <w:rsid w:val="00037F83"/>
    <w:rsid w:val="0004074A"/>
    <w:rsid w:val="00040B97"/>
    <w:rsid w:val="00043385"/>
    <w:rsid w:val="000452A0"/>
    <w:rsid w:val="00045DB3"/>
    <w:rsid w:val="00046329"/>
    <w:rsid w:val="000469E5"/>
    <w:rsid w:val="00051949"/>
    <w:rsid w:val="0005216E"/>
    <w:rsid w:val="00057D6D"/>
    <w:rsid w:val="000632B5"/>
    <w:rsid w:val="00066074"/>
    <w:rsid w:val="00067F8C"/>
    <w:rsid w:val="000740F1"/>
    <w:rsid w:val="00074D8F"/>
    <w:rsid w:val="000805BD"/>
    <w:rsid w:val="000823F5"/>
    <w:rsid w:val="00086D56"/>
    <w:rsid w:val="000926B5"/>
    <w:rsid w:val="00093536"/>
    <w:rsid w:val="00093668"/>
    <w:rsid w:val="0009486D"/>
    <w:rsid w:val="00094F26"/>
    <w:rsid w:val="00095F98"/>
    <w:rsid w:val="000965AA"/>
    <w:rsid w:val="000A0D9C"/>
    <w:rsid w:val="000A2ACC"/>
    <w:rsid w:val="000A2AE1"/>
    <w:rsid w:val="000A41EE"/>
    <w:rsid w:val="000A4DE3"/>
    <w:rsid w:val="000A4F2B"/>
    <w:rsid w:val="000A6C05"/>
    <w:rsid w:val="000A7CA3"/>
    <w:rsid w:val="000B1532"/>
    <w:rsid w:val="000B41CB"/>
    <w:rsid w:val="000B42B0"/>
    <w:rsid w:val="000B5C31"/>
    <w:rsid w:val="000B5E4F"/>
    <w:rsid w:val="000B69D5"/>
    <w:rsid w:val="000B78C0"/>
    <w:rsid w:val="000C0090"/>
    <w:rsid w:val="000C015C"/>
    <w:rsid w:val="000C083C"/>
    <w:rsid w:val="000C14A8"/>
    <w:rsid w:val="000C298C"/>
    <w:rsid w:val="000C33B8"/>
    <w:rsid w:val="000D09C3"/>
    <w:rsid w:val="000D2C0E"/>
    <w:rsid w:val="000D528E"/>
    <w:rsid w:val="000D6460"/>
    <w:rsid w:val="000D7919"/>
    <w:rsid w:val="000E1435"/>
    <w:rsid w:val="000E227E"/>
    <w:rsid w:val="000E2744"/>
    <w:rsid w:val="000E2773"/>
    <w:rsid w:val="000E32F6"/>
    <w:rsid w:val="000E3850"/>
    <w:rsid w:val="000E4564"/>
    <w:rsid w:val="000E5BA9"/>
    <w:rsid w:val="000F1001"/>
    <w:rsid w:val="000F4053"/>
    <w:rsid w:val="000F4C68"/>
    <w:rsid w:val="000F5968"/>
    <w:rsid w:val="000F5DE6"/>
    <w:rsid w:val="000F6772"/>
    <w:rsid w:val="000F7D1F"/>
    <w:rsid w:val="00100891"/>
    <w:rsid w:val="00102A3C"/>
    <w:rsid w:val="00102DF6"/>
    <w:rsid w:val="0010372D"/>
    <w:rsid w:val="001037E2"/>
    <w:rsid w:val="00103A2D"/>
    <w:rsid w:val="001043F3"/>
    <w:rsid w:val="00110C83"/>
    <w:rsid w:val="0011201A"/>
    <w:rsid w:val="00113364"/>
    <w:rsid w:val="00115F58"/>
    <w:rsid w:val="00116070"/>
    <w:rsid w:val="0011613E"/>
    <w:rsid w:val="001168D2"/>
    <w:rsid w:val="00116CEF"/>
    <w:rsid w:val="00120159"/>
    <w:rsid w:val="00120715"/>
    <w:rsid w:val="00123504"/>
    <w:rsid w:val="00124219"/>
    <w:rsid w:val="001254DB"/>
    <w:rsid w:val="001258DA"/>
    <w:rsid w:val="00125A4A"/>
    <w:rsid w:val="001262FE"/>
    <w:rsid w:val="00126996"/>
    <w:rsid w:val="00126E4C"/>
    <w:rsid w:val="00132B20"/>
    <w:rsid w:val="00134F34"/>
    <w:rsid w:val="00141397"/>
    <w:rsid w:val="0014546B"/>
    <w:rsid w:val="001465A9"/>
    <w:rsid w:val="001477D8"/>
    <w:rsid w:val="001500DE"/>
    <w:rsid w:val="00155FF7"/>
    <w:rsid w:val="00155FFC"/>
    <w:rsid w:val="00156944"/>
    <w:rsid w:val="00157F79"/>
    <w:rsid w:val="001607EE"/>
    <w:rsid w:val="00161F86"/>
    <w:rsid w:val="00167541"/>
    <w:rsid w:val="00167597"/>
    <w:rsid w:val="00170C29"/>
    <w:rsid w:val="00170EA8"/>
    <w:rsid w:val="00172F91"/>
    <w:rsid w:val="001757D8"/>
    <w:rsid w:val="00176AD7"/>
    <w:rsid w:val="001825BE"/>
    <w:rsid w:val="0018286B"/>
    <w:rsid w:val="00183E6D"/>
    <w:rsid w:val="00184F71"/>
    <w:rsid w:val="00185E3A"/>
    <w:rsid w:val="00187F37"/>
    <w:rsid w:val="001901A5"/>
    <w:rsid w:val="00191D9D"/>
    <w:rsid w:val="0019226C"/>
    <w:rsid w:val="001938D0"/>
    <w:rsid w:val="00195582"/>
    <w:rsid w:val="00196D63"/>
    <w:rsid w:val="001A12EB"/>
    <w:rsid w:val="001A1C20"/>
    <w:rsid w:val="001A299A"/>
    <w:rsid w:val="001A2CDC"/>
    <w:rsid w:val="001A3AAC"/>
    <w:rsid w:val="001A501D"/>
    <w:rsid w:val="001A717B"/>
    <w:rsid w:val="001A7519"/>
    <w:rsid w:val="001B1894"/>
    <w:rsid w:val="001B5059"/>
    <w:rsid w:val="001B6CE7"/>
    <w:rsid w:val="001C0617"/>
    <w:rsid w:val="001C061D"/>
    <w:rsid w:val="001C160D"/>
    <w:rsid w:val="001C1A86"/>
    <w:rsid w:val="001C1DD1"/>
    <w:rsid w:val="001C3127"/>
    <w:rsid w:val="001C49D1"/>
    <w:rsid w:val="001C64A0"/>
    <w:rsid w:val="001C66C7"/>
    <w:rsid w:val="001C6986"/>
    <w:rsid w:val="001C716B"/>
    <w:rsid w:val="001C7C30"/>
    <w:rsid w:val="001C7D3F"/>
    <w:rsid w:val="001D08F5"/>
    <w:rsid w:val="001D4809"/>
    <w:rsid w:val="001D4C11"/>
    <w:rsid w:val="001E052A"/>
    <w:rsid w:val="001E2AFB"/>
    <w:rsid w:val="001E30C2"/>
    <w:rsid w:val="001E3547"/>
    <w:rsid w:val="001E3A9A"/>
    <w:rsid w:val="001E7090"/>
    <w:rsid w:val="001F01C0"/>
    <w:rsid w:val="001F0FCB"/>
    <w:rsid w:val="001F2BA8"/>
    <w:rsid w:val="001F7AA8"/>
    <w:rsid w:val="00205656"/>
    <w:rsid w:val="00205CD4"/>
    <w:rsid w:val="002109B8"/>
    <w:rsid w:val="00211F6D"/>
    <w:rsid w:val="0021225E"/>
    <w:rsid w:val="0021231C"/>
    <w:rsid w:val="002161A5"/>
    <w:rsid w:val="0021631A"/>
    <w:rsid w:val="00223334"/>
    <w:rsid w:val="00223BEA"/>
    <w:rsid w:val="00223D3C"/>
    <w:rsid w:val="00224F79"/>
    <w:rsid w:val="00225652"/>
    <w:rsid w:val="00231167"/>
    <w:rsid w:val="00231593"/>
    <w:rsid w:val="00232718"/>
    <w:rsid w:val="002335F9"/>
    <w:rsid w:val="00235DF6"/>
    <w:rsid w:val="00240705"/>
    <w:rsid w:val="00240D05"/>
    <w:rsid w:val="00241C3D"/>
    <w:rsid w:val="00244725"/>
    <w:rsid w:val="00245F2E"/>
    <w:rsid w:val="00247E37"/>
    <w:rsid w:val="00250870"/>
    <w:rsid w:val="0025539F"/>
    <w:rsid w:val="00256449"/>
    <w:rsid w:val="00256C5C"/>
    <w:rsid w:val="002573AC"/>
    <w:rsid w:val="00257728"/>
    <w:rsid w:val="00262A34"/>
    <w:rsid w:val="00262DCD"/>
    <w:rsid w:val="00263C0B"/>
    <w:rsid w:val="00264B4F"/>
    <w:rsid w:val="002749D0"/>
    <w:rsid w:val="00275226"/>
    <w:rsid w:val="0027641C"/>
    <w:rsid w:val="00281D5E"/>
    <w:rsid w:val="00281FCC"/>
    <w:rsid w:val="00282A06"/>
    <w:rsid w:val="00284FFD"/>
    <w:rsid w:val="00287544"/>
    <w:rsid w:val="0028787F"/>
    <w:rsid w:val="00287CB5"/>
    <w:rsid w:val="0029081A"/>
    <w:rsid w:val="00292352"/>
    <w:rsid w:val="0029430E"/>
    <w:rsid w:val="00295856"/>
    <w:rsid w:val="002964D1"/>
    <w:rsid w:val="00296740"/>
    <w:rsid w:val="002A0240"/>
    <w:rsid w:val="002A0B01"/>
    <w:rsid w:val="002A2F53"/>
    <w:rsid w:val="002A458E"/>
    <w:rsid w:val="002A58AB"/>
    <w:rsid w:val="002A5FEE"/>
    <w:rsid w:val="002A6203"/>
    <w:rsid w:val="002A6A20"/>
    <w:rsid w:val="002B042D"/>
    <w:rsid w:val="002B0674"/>
    <w:rsid w:val="002B1574"/>
    <w:rsid w:val="002B1789"/>
    <w:rsid w:val="002B576E"/>
    <w:rsid w:val="002B60B3"/>
    <w:rsid w:val="002C14A7"/>
    <w:rsid w:val="002C2DF9"/>
    <w:rsid w:val="002C39AA"/>
    <w:rsid w:val="002C6061"/>
    <w:rsid w:val="002C6CA7"/>
    <w:rsid w:val="002D11E0"/>
    <w:rsid w:val="002D24A9"/>
    <w:rsid w:val="002D25C5"/>
    <w:rsid w:val="002D379F"/>
    <w:rsid w:val="002E07F1"/>
    <w:rsid w:val="002E0CA7"/>
    <w:rsid w:val="002E1780"/>
    <w:rsid w:val="002E223A"/>
    <w:rsid w:val="002E359F"/>
    <w:rsid w:val="002E3D10"/>
    <w:rsid w:val="002E4716"/>
    <w:rsid w:val="002E5CAD"/>
    <w:rsid w:val="002E674D"/>
    <w:rsid w:val="002E690B"/>
    <w:rsid w:val="002E7F7F"/>
    <w:rsid w:val="002F0069"/>
    <w:rsid w:val="002F05D0"/>
    <w:rsid w:val="002F1785"/>
    <w:rsid w:val="002F1910"/>
    <w:rsid w:val="002F1C8B"/>
    <w:rsid w:val="002F2BC8"/>
    <w:rsid w:val="002F2F04"/>
    <w:rsid w:val="002F3A6D"/>
    <w:rsid w:val="002F4B63"/>
    <w:rsid w:val="002F5BA4"/>
    <w:rsid w:val="002F7A7A"/>
    <w:rsid w:val="00300D3B"/>
    <w:rsid w:val="00301807"/>
    <w:rsid w:val="00303775"/>
    <w:rsid w:val="003040F5"/>
    <w:rsid w:val="003054CD"/>
    <w:rsid w:val="00312255"/>
    <w:rsid w:val="00312302"/>
    <w:rsid w:val="0031243C"/>
    <w:rsid w:val="0031555B"/>
    <w:rsid w:val="00316640"/>
    <w:rsid w:val="00316778"/>
    <w:rsid w:val="00317A37"/>
    <w:rsid w:val="00317CE4"/>
    <w:rsid w:val="00320517"/>
    <w:rsid w:val="00320D9B"/>
    <w:rsid w:val="0032207E"/>
    <w:rsid w:val="0032372E"/>
    <w:rsid w:val="00324B56"/>
    <w:rsid w:val="0032784C"/>
    <w:rsid w:val="003305D4"/>
    <w:rsid w:val="00330F28"/>
    <w:rsid w:val="00332203"/>
    <w:rsid w:val="00332511"/>
    <w:rsid w:val="00333524"/>
    <w:rsid w:val="0033503F"/>
    <w:rsid w:val="00335256"/>
    <w:rsid w:val="00336107"/>
    <w:rsid w:val="00336257"/>
    <w:rsid w:val="00337274"/>
    <w:rsid w:val="0034202F"/>
    <w:rsid w:val="00347E65"/>
    <w:rsid w:val="0035077B"/>
    <w:rsid w:val="00350E66"/>
    <w:rsid w:val="0035131F"/>
    <w:rsid w:val="00352ADC"/>
    <w:rsid w:val="003531B6"/>
    <w:rsid w:val="00354A58"/>
    <w:rsid w:val="00360071"/>
    <w:rsid w:val="0036011F"/>
    <w:rsid w:val="0036564F"/>
    <w:rsid w:val="003669B5"/>
    <w:rsid w:val="00370898"/>
    <w:rsid w:val="00371CBC"/>
    <w:rsid w:val="00372011"/>
    <w:rsid w:val="003720E5"/>
    <w:rsid w:val="003753C1"/>
    <w:rsid w:val="0037568A"/>
    <w:rsid w:val="00376946"/>
    <w:rsid w:val="00381D01"/>
    <w:rsid w:val="00381FE0"/>
    <w:rsid w:val="003830F2"/>
    <w:rsid w:val="003839F2"/>
    <w:rsid w:val="00384C1D"/>
    <w:rsid w:val="00385320"/>
    <w:rsid w:val="00387FEB"/>
    <w:rsid w:val="00390656"/>
    <w:rsid w:val="00395CDE"/>
    <w:rsid w:val="003971BF"/>
    <w:rsid w:val="003972D7"/>
    <w:rsid w:val="003A2890"/>
    <w:rsid w:val="003A2EE8"/>
    <w:rsid w:val="003A3D22"/>
    <w:rsid w:val="003A48D6"/>
    <w:rsid w:val="003A4D5B"/>
    <w:rsid w:val="003A4E8C"/>
    <w:rsid w:val="003A66BB"/>
    <w:rsid w:val="003A72AF"/>
    <w:rsid w:val="003B020A"/>
    <w:rsid w:val="003B03E6"/>
    <w:rsid w:val="003B3E23"/>
    <w:rsid w:val="003B5579"/>
    <w:rsid w:val="003B6E0F"/>
    <w:rsid w:val="003C3DE3"/>
    <w:rsid w:val="003C4653"/>
    <w:rsid w:val="003C6796"/>
    <w:rsid w:val="003C7C2A"/>
    <w:rsid w:val="003D14B4"/>
    <w:rsid w:val="003D4F9B"/>
    <w:rsid w:val="003D6831"/>
    <w:rsid w:val="003E0785"/>
    <w:rsid w:val="003E2B8E"/>
    <w:rsid w:val="003E3274"/>
    <w:rsid w:val="003E38C6"/>
    <w:rsid w:val="003E39AA"/>
    <w:rsid w:val="003E3E16"/>
    <w:rsid w:val="003E3FBB"/>
    <w:rsid w:val="003E7F18"/>
    <w:rsid w:val="003F0B50"/>
    <w:rsid w:val="003F1FB3"/>
    <w:rsid w:val="003F3346"/>
    <w:rsid w:val="003F65B2"/>
    <w:rsid w:val="003F6836"/>
    <w:rsid w:val="003F68DF"/>
    <w:rsid w:val="0040490C"/>
    <w:rsid w:val="00404D7C"/>
    <w:rsid w:val="0040702E"/>
    <w:rsid w:val="00410880"/>
    <w:rsid w:val="00410893"/>
    <w:rsid w:val="00410C0B"/>
    <w:rsid w:val="00413D79"/>
    <w:rsid w:val="00417470"/>
    <w:rsid w:val="00417506"/>
    <w:rsid w:val="0041775E"/>
    <w:rsid w:val="00423D36"/>
    <w:rsid w:val="00424B0F"/>
    <w:rsid w:val="00425696"/>
    <w:rsid w:val="00426CC1"/>
    <w:rsid w:val="00427A93"/>
    <w:rsid w:val="004301EC"/>
    <w:rsid w:val="00431067"/>
    <w:rsid w:val="0043487B"/>
    <w:rsid w:val="00435A0E"/>
    <w:rsid w:val="00437532"/>
    <w:rsid w:val="0043797A"/>
    <w:rsid w:val="00442F50"/>
    <w:rsid w:val="004440F7"/>
    <w:rsid w:val="004452AC"/>
    <w:rsid w:val="004459B8"/>
    <w:rsid w:val="00445D2C"/>
    <w:rsid w:val="004461F6"/>
    <w:rsid w:val="004473B6"/>
    <w:rsid w:val="0044765B"/>
    <w:rsid w:val="00447AA4"/>
    <w:rsid w:val="00450D50"/>
    <w:rsid w:val="00451762"/>
    <w:rsid w:val="0045368D"/>
    <w:rsid w:val="00453F39"/>
    <w:rsid w:val="00454033"/>
    <w:rsid w:val="00454B5E"/>
    <w:rsid w:val="00455593"/>
    <w:rsid w:val="00456633"/>
    <w:rsid w:val="00461CB5"/>
    <w:rsid w:val="004645B7"/>
    <w:rsid w:val="00465D0F"/>
    <w:rsid w:val="00466286"/>
    <w:rsid w:val="00466BEA"/>
    <w:rsid w:val="00466C35"/>
    <w:rsid w:val="0047019C"/>
    <w:rsid w:val="00470F58"/>
    <w:rsid w:val="00472B31"/>
    <w:rsid w:val="00475DB5"/>
    <w:rsid w:val="00477572"/>
    <w:rsid w:val="00477DFD"/>
    <w:rsid w:val="004857A0"/>
    <w:rsid w:val="004858A9"/>
    <w:rsid w:val="00486E3A"/>
    <w:rsid w:val="004900D5"/>
    <w:rsid w:val="004908A2"/>
    <w:rsid w:val="00493C4C"/>
    <w:rsid w:val="00494118"/>
    <w:rsid w:val="00497DF6"/>
    <w:rsid w:val="004A18CE"/>
    <w:rsid w:val="004A2CD0"/>
    <w:rsid w:val="004A2EA2"/>
    <w:rsid w:val="004A3656"/>
    <w:rsid w:val="004A3BB9"/>
    <w:rsid w:val="004A5D2B"/>
    <w:rsid w:val="004A5FBB"/>
    <w:rsid w:val="004B143B"/>
    <w:rsid w:val="004B1D51"/>
    <w:rsid w:val="004B1D6A"/>
    <w:rsid w:val="004B203F"/>
    <w:rsid w:val="004B2D18"/>
    <w:rsid w:val="004C3036"/>
    <w:rsid w:val="004C493F"/>
    <w:rsid w:val="004D032F"/>
    <w:rsid w:val="004D0F03"/>
    <w:rsid w:val="004D1A95"/>
    <w:rsid w:val="004D226C"/>
    <w:rsid w:val="004D2518"/>
    <w:rsid w:val="004D5580"/>
    <w:rsid w:val="004D77AB"/>
    <w:rsid w:val="004E0DA4"/>
    <w:rsid w:val="004E3D3B"/>
    <w:rsid w:val="004E62BD"/>
    <w:rsid w:val="004E7B7D"/>
    <w:rsid w:val="004E7DAA"/>
    <w:rsid w:val="004F0F4C"/>
    <w:rsid w:val="004F22B7"/>
    <w:rsid w:val="004F57B8"/>
    <w:rsid w:val="004F57BD"/>
    <w:rsid w:val="004F604D"/>
    <w:rsid w:val="004F62AC"/>
    <w:rsid w:val="004F6634"/>
    <w:rsid w:val="004F6907"/>
    <w:rsid w:val="00500EAD"/>
    <w:rsid w:val="00503909"/>
    <w:rsid w:val="00503D81"/>
    <w:rsid w:val="00505893"/>
    <w:rsid w:val="0050594D"/>
    <w:rsid w:val="00506A08"/>
    <w:rsid w:val="00511B2B"/>
    <w:rsid w:val="00512908"/>
    <w:rsid w:val="00512E42"/>
    <w:rsid w:val="005172AF"/>
    <w:rsid w:val="00520638"/>
    <w:rsid w:val="00520E41"/>
    <w:rsid w:val="0052197F"/>
    <w:rsid w:val="00523358"/>
    <w:rsid w:val="00523B3F"/>
    <w:rsid w:val="00525831"/>
    <w:rsid w:val="00531FF1"/>
    <w:rsid w:val="005322BD"/>
    <w:rsid w:val="005327FB"/>
    <w:rsid w:val="00534267"/>
    <w:rsid w:val="00536DAE"/>
    <w:rsid w:val="00536F92"/>
    <w:rsid w:val="0053714F"/>
    <w:rsid w:val="00537FD3"/>
    <w:rsid w:val="005415B4"/>
    <w:rsid w:val="0054166A"/>
    <w:rsid w:val="0054272D"/>
    <w:rsid w:val="005427AB"/>
    <w:rsid w:val="00542829"/>
    <w:rsid w:val="0054328C"/>
    <w:rsid w:val="00544BB9"/>
    <w:rsid w:val="00544BBD"/>
    <w:rsid w:val="005540E7"/>
    <w:rsid w:val="00554F77"/>
    <w:rsid w:val="00555B17"/>
    <w:rsid w:val="00556AD9"/>
    <w:rsid w:val="00556FE0"/>
    <w:rsid w:val="00560143"/>
    <w:rsid w:val="005644B9"/>
    <w:rsid w:val="0056469B"/>
    <w:rsid w:val="00565074"/>
    <w:rsid w:val="00565635"/>
    <w:rsid w:val="0056638C"/>
    <w:rsid w:val="00566C2E"/>
    <w:rsid w:val="00567D4D"/>
    <w:rsid w:val="0057093F"/>
    <w:rsid w:val="00570C56"/>
    <w:rsid w:val="00572EAA"/>
    <w:rsid w:val="00573C74"/>
    <w:rsid w:val="005740AA"/>
    <w:rsid w:val="00574D58"/>
    <w:rsid w:val="00580F2B"/>
    <w:rsid w:val="005816D1"/>
    <w:rsid w:val="00583506"/>
    <w:rsid w:val="0058443F"/>
    <w:rsid w:val="00585E37"/>
    <w:rsid w:val="00586096"/>
    <w:rsid w:val="005875AD"/>
    <w:rsid w:val="005921D0"/>
    <w:rsid w:val="00592B08"/>
    <w:rsid w:val="005935D8"/>
    <w:rsid w:val="0059475A"/>
    <w:rsid w:val="005947F2"/>
    <w:rsid w:val="005965FA"/>
    <w:rsid w:val="005A1029"/>
    <w:rsid w:val="005A1A47"/>
    <w:rsid w:val="005A1B0E"/>
    <w:rsid w:val="005B07F9"/>
    <w:rsid w:val="005B42B1"/>
    <w:rsid w:val="005B42F4"/>
    <w:rsid w:val="005B5679"/>
    <w:rsid w:val="005B5752"/>
    <w:rsid w:val="005B65D1"/>
    <w:rsid w:val="005C0852"/>
    <w:rsid w:val="005C19F3"/>
    <w:rsid w:val="005C3644"/>
    <w:rsid w:val="005C41E9"/>
    <w:rsid w:val="005C6730"/>
    <w:rsid w:val="005C6C68"/>
    <w:rsid w:val="005D099D"/>
    <w:rsid w:val="005D240B"/>
    <w:rsid w:val="005D3435"/>
    <w:rsid w:val="005E054B"/>
    <w:rsid w:val="005E3D69"/>
    <w:rsid w:val="005E53FF"/>
    <w:rsid w:val="005E5D99"/>
    <w:rsid w:val="005E7D7B"/>
    <w:rsid w:val="005F0967"/>
    <w:rsid w:val="005F2C04"/>
    <w:rsid w:val="005F3218"/>
    <w:rsid w:val="005F3313"/>
    <w:rsid w:val="005F3DE1"/>
    <w:rsid w:val="005F606F"/>
    <w:rsid w:val="005F6373"/>
    <w:rsid w:val="005F6F92"/>
    <w:rsid w:val="005F70BD"/>
    <w:rsid w:val="00601A7B"/>
    <w:rsid w:val="00602908"/>
    <w:rsid w:val="006060CA"/>
    <w:rsid w:val="00607DC1"/>
    <w:rsid w:val="0061090D"/>
    <w:rsid w:val="00611DA0"/>
    <w:rsid w:val="006135F4"/>
    <w:rsid w:val="006142DE"/>
    <w:rsid w:val="00615578"/>
    <w:rsid w:val="00617EA1"/>
    <w:rsid w:val="00620469"/>
    <w:rsid w:val="00620F71"/>
    <w:rsid w:val="00622C70"/>
    <w:rsid w:val="00622E6D"/>
    <w:rsid w:val="00622E97"/>
    <w:rsid w:val="00624022"/>
    <w:rsid w:val="00624337"/>
    <w:rsid w:val="00624DD2"/>
    <w:rsid w:val="00624F44"/>
    <w:rsid w:val="00627CCA"/>
    <w:rsid w:val="00630E42"/>
    <w:rsid w:val="00631E56"/>
    <w:rsid w:val="00632041"/>
    <w:rsid w:val="00632F20"/>
    <w:rsid w:val="00632F50"/>
    <w:rsid w:val="006334D6"/>
    <w:rsid w:val="00635547"/>
    <w:rsid w:val="0063698E"/>
    <w:rsid w:val="00636DF3"/>
    <w:rsid w:val="00641E50"/>
    <w:rsid w:val="00642304"/>
    <w:rsid w:val="00643728"/>
    <w:rsid w:val="006441A6"/>
    <w:rsid w:val="00645131"/>
    <w:rsid w:val="006458DC"/>
    <w:rsid w:val="00646D72"/>
    <w:rsid w:val="00647BE8"/>
    <w:rsid w:val="00647E92"/>
    <w:rsid w:val="0065044D"/>
    <w:rsid w:val="00653369"/>
    <w:rsid w:val="0065384A"/>
    <w:rsid w:val="00656108"/>
    <w:rsid w:val="006578DA"/>
    <w:rsid w:val="00662D2F"/>
    <w:rsid w:val="00662F07"/>
    <w:rsid w:val="006634DC"/>
    <w:rsid w:val="00663610"/>
    <w:rsid w:val="00664468"/>
    <w:rsid w:val="006709DD"/>
    <w:rsid w:val="006719D6"/>
    <w:rsid w:val="0067549D"/>
    <w:rsid w:val="00676AEF"/>
    <w:rsid w:val="00682A59"/>
    <w:rsid w:val="00683A52"/>
    <w:rsid w:val="00684766"/>
    <w:rsid w:val="00684993"/>
    <w:rsid w:val="006858E2"/>
    <w:rsid w:val="0068722C"/>
    <w:rsid w:val="00690827"/>
    <w:rsid w:val="00691930"/>
    <w:rsid w:val="00693699"/>
    <w:rsid w:val="00694E52"/>
    <w:rsid w:val="006A0BC7"/>
    <w:rsid w:val="006A10B6"/>
    <w:rsid w:val="006A4665"/>
    <w:rsid w:val="006B08F1"/>
    <w:rsid w:val="006B1FF0"/>
    <w:rsid w:val="006B5142"/>
    <w:rsid w:val="006C0C63"/>
    <w:rsid w:val="006C0F13"/>
    <w:rsid w:val="006C312E"/>
    <w:rsid w:val="006C4A8D"/>
    <w:rsid w:val="006C65C6"/>
    <w:rsid w:val="006C7A64"/>
    <w:rsid w:val="006C7B7B"/>
    <w:rsid w:val="006D027C"/>
    <w:rsid w:val="006D0F0C"/>
    <w:rsid w:val="006D3BE2"/>
    <w:rsid w:val="006E0B64"/>
    <w:rsid w:val="006E189F"/>
    <w:rsid w:val="006E1FF0"/>
    <w:rsid w:val="006E59CA"/>
    <w:rsid w:val="006F22D3"/>
    <w:rsid w:val="006F3EAC"/>
    <w:rsid w:val="006F511B"/>
    <w:rsid w:val="006F6F26"/>
    <w:rsid w:val="006F701D"/>
    <w:rsid w:val="006F73CC"/>
    <w:rsid w:val="006F781D"/>
    <w:rsid w:val="007000AC"/>
    <w:rsid w:val="007027E6"/>
    <w:rsid w:val="00702CAC"/>
    <w:rsid w:val="007031DC"/>
    <w:rsid w:val="00703FA9"/>
    <w:rsid w:val="00706935"/>
    <w:rsid w:val="0070721B"/>
    <w:rsid w:val="00707905"/>
    <w:rsid w:val="0071298A"/>
    <w:rsid w:val="00714001"/>
    <w:rsid w:val="00715ACE"/>
    <w:rsid w:val="007178DC"/>
    <w:rsid w:val="0072221D"/>
    <w:rsid w:val="007224F3"/>
    <w:rsid w:val="007229ED"/>
    <w:rsid w:val="00722A34"/>
    <w:rsid w:val="0072449B"/>
    <w:rsid w:val="0072537C"/>
    <w:rsid w:val="00726F7C"/>
    <w:rsid w:val="0073024E"/>
    <w:rsid w:val="00730813"/>
    <w:rsid w:val="00731D1C"/>
    <w:rsid w:val="00731F61"/>
    <w:rsid w:val="00737DF0"/>
    <w:rsid w:val="0074070D"/>
    <w:rsid w:val="00740F40"/>
    <w:rsid w:val="007446C6"/>
    <w:rsid w:val="0074730D"/>
    <w:rsid w:val="00747E2B"/>
    <w:rsid w:val="00750E1E"/>
    <w:rsid w:val="0075153C"/>
    <w:rsid w:val="00751777"/>
    <w:rsid w:val="00752315"/>
    <w:rsid w:val="00754609"/>
    <w:rsid w:val="007553C7"/>
    <w:rsid w:val="00755683"/>
    <w:rsid w:val="007558C4"/>
    <w:rsid w:val="007559EB"/>
    <w:rsid w:val="00756971"/>
    <w:rsid w:val="00756A25"/>
    <w:rsid w:val="00760178"/>
    <w:rsid w:val="00766B74"/>
    <w:rsid w:val="00767BAF"/>
    <w:rsid w:val="00770E30"/>
    <w:rsid w:val="00770FB0"/>
    <w:rsid w:val="007713D4"/>
    <w:rsid w:val="0077173A"/>
    <w:rsid w:val="00771B37"/>
    <w:rsid w:val="00772BEF"/>
    <w:rsid w:val="00772CE0"/>
    <w:rsid w:val="007732B4"/>
    <w:rsid w:val="00773D49"/>
    <w:rsid w:val="00774C13"/>
    <w:rsid w:val="00777F30"/>
    <w:rsid w:val="007818A2"/>
    <w:rsid w:val="007819B8"/>
    <w:rsid w:val="00783B3C"/>
    <w:rsid w:val="00784B6D"/>
    <w:rsid w:val="00784D37"/>
    <w:rsid w:val="007908FE"/>
    <w:rsid w:val="0079371F"/>
    <w:rsid w:val="00793855"/>
    <w:rsid w:val="00793E29"/>
    <w:rsid w:val="00794AA8"/>
    <w:rsid w:val="007968DE"/>
    <w:rsid w:val="007977AB"/>
    <w:rsid w:val="00797A94"/>
    <w:rsid w:val="007A33FE"/>
    <w:rsid w:val="007A6429"/>
    <w:rsid w:val="007A64C7"/>
    <w:rsid w:val="007B4E9F"/>
    <w:rsid w:val="007B5C16"/>
    <w:rsid w:val="007B5F5C"/>
    <w:rsid w:val="007B6A35"/>
    <w:rsid w:val="007B76B0"/>
    <w:rsid w:val="007B76F6"/>
    <w:rsid w:val="007C00FF"/>
    <w:rsid w:val="007C0DDC"/>
    <w:rsid w:val="007C1063"/>
    <w:rsid w:val="007C1AFB"/>
    <w:rsid w:val="007C1E7D"/>
    <w:rsid w:val="007C286B"/>
    <w:rsid w:val="007C31FE"/>
    <w:rsid w:val="007C3FC8"/>
    <w:rsid w:val="007C4DF8"/>
    <w:rsid w:val="007D08E6"/>
    <w:rsid w:val="007D2886"/>
    <w:rsid w:val="007D2B90"/>
    <w:rsid w:val="007D52D1"/>
    <w:rsid w:val="007D6103"/>
    <w:rsid w:val="007D6616"/>
    <w:rsid w:val="007E02B7"/>
    <w:rsid w:val="007E159D"/>
    <w:rsid w:val="007E1B42"/>
    <w:rsid w:val="007E4E47"/>
    <w:rsid w:val="007E6520"/>
    <w:rsid w:val="007E6C9A"/>
    <w:rsid w:val="007E7A9C"/>
    <w:rsid w:val="007F17E9"/>
    <w:rsid w:val="007F2053"/>
    <w:rsid w:val="007F2108"/>
    <w:rsid w:val="007F2809"/>
    <w:rsid w:val="007F4151"/>
    <w:rsid w:val="007F6876"/>
    <w:rsid w:val="007F6E8B"/>
    <w:rsid w:val="007F7CCD"/>
    <w:rsid w:val="00800134"/>
    <w:rsid w:val="00800200"/>
    <w:rsid w:val="00802A84"/>
    <w:rsid w:val="0080385C"/>
    <w:rsid w:val="008041C5"/>
    <w:rsid w:val="008049E7"/>
    <w:rsid w:val="00805C6B"/>
    <w:rsid w:val="00806EB0"/>
    <w:rsid w:val="008100F3"/>
    <w:rsid w:val="0081074E"/>
    <w:rsid w:val="00810B4B"/>
    <w:rsid w:val="00811E15"/>
    <w:rsid w:val="00812A7E"/>
    <w:rsid w:val="008138FB"/>
    <w:rsid w:val="00814642"/>
    <w:rsid w:val="00814C7F"/>
    <w:rsid w:val="00815A8F"/>
    <w:rsid w:val="0081652E"/>
    <w:rsid w:val="008166B3"/>
    <w:rsid w:val="00820766"/>
    <w:rsid w:val="008211AD"/>
    <w:rsid w:val="008218B1"/>
    <w:rsid w:val="0082252C"/>
    <w:rsid w:val="008232A9"/>
    <w:rsid w:val="00827C65"/>
    <w:rsid w:val="00830CF1"/>
    <w:rsid w:val="00830E6F"/>
    <w:rsid w:val="00833725"/>
    <w:rsid w:val="00834868"/>
    <w:rsid w:val="00834996"/>
    <w:rsid w:val="008368CC"/>
    <w:rsid w:val="00841355"/>
    <w:rsid w:val="008454D3"/>
    <w:rsid w:val="0085060C"/>
    <w:rsid w:val="00851B17"/>
    <w:rsid w:val="008524F1"/>
    <w:rsid w:val="0085337B"/>
    <w:rsid w:val="008548EA"/>
    <w:rsid w:val="00855AC6"/>
    <w:rsid w:val="008567E6"/>
    <w:rsid w:val="00857552"/>
    <w:rsid w:val="008635FD"/>
    <w:rsid w:val="00866554"/>
    <w:rsid w:val="008671B9"/>
    <w:rsid w:val="00872748"/>
    <w:rsid w:val="00872F34"/>
    <w:rsid w:val="008767CF"/>
    <w:rsid w:val="0087685D"/>
    <w:rsid w:val="00877DAD"/>
    <w:rsid w:val="008801D7"/>
    <w:rsid w:val="00883ED5"/>
    <w:rsid w:val="00884D8A"/>
    <w:rsid w:val="008901A5"/>
    <w:rsid w:val="008904DD"/>
    <w:rsid w:val="0089193F"/>
    <w:rsid w:val="0089277D"/>
    <w:rsid w:val="0089428D"/>
    <w:rsid w:val="008949B5"/>
    <w:rsid w:val="00895EA2"/>
    <w:rsid w:val="008A0AFF"/>
    <w:rsid w:val="008A20FB"/>
    <w:rsid w:val="008A2352"/>
    <w:rsid w:val="008A2BB4"/>
    <w:rsid w:val="008A3F7C"/>
    <w:rsid w:val="008A5AC0"/>
    <w:rsid w:val="008A6CD5"/>
    <w:rsid w:val="008A7BDA"/>
    <w:rsid w:val="008A7CB8"/>
    <w:rsid w:val="008B1E7E"/>
    <w:rsid w:val="008B2B12"/>
    <w:rsid w:val="008B3432"/>
    <w:rsid w:val="008B3766"/>
    <w:rsid w:val="008B6C5C"/>
    <w:rsid w:val="008B72DC"/>
    <w:rsid w:val="008C105A"/>
    <w:rsid w:val="008C31CF"/>
    <w:rsid w:val="008C336D"/>
    <w:rsid w:val="008C453B"/>
    <w:rsid w:val="008C4746"/>
    <w:rsid w:val="008C6175"/>
    <w:rsid w:val="008C7D13"/>
    <w:rsid w:val="008D1C36"/>
    <w:rsid w:val="008D2233"/>
    <w:rsid w:val="008D2C4E"/>
    <w:rsid w:val="008D2E84"/>
    <w:rsid w:val="008D5EC3"/>
    <w:rsid w:val="008E0D19"/>
    <w:rsid w:val="008E2A9C"/>
    <w:rsid w:val="008E2F06"/>
    <w:rsid w:val="008E43CF"/>
    <w:rsid w:val="008E4538"/>
    <w:rsid w:val="008E5BE9"/>
    <w:rsid w:val="008E5D8F"/>
    <w:rsid w:val="008E664F"/>
    <w:rsid w:val="008E6725"/>
    <w:rsid w:val="008E7845"/>
    <w:rsid w:val="008F3BEF"/>
    <w:rsid w:val="008F7485"/>
    <w:rsid w:val="008F7613"/>
    <w:rsid w:val="008F778D"/>
    <w:rsid w:val="009025A3"/>
    <w:rsid w:val="009025DC"/>
    <w:rsid w:val="00902823"/>
    <w:rsid w:val="00903CC5"/>
    <w:rsid w:val="00903D6B"/>
    <w:rsid w:val="00904FBA"/>
    <w:rsid w:val="0090639B"/>
    <w:rsid w:val="0091058D"/>
    <w:rsid w:val="00913EF8"/>
    <w:rsid w:val="00920507"/>
    <w:rsid w:val="0092079E"/>
    <w:rsid w:val="009239CB"/>
    <w:rsid w:val="00924394"/>
    <w:rsid w:val="009309C5"/>
    <w:rsid w:val="0093163E"/>
    <w:rsid w:val="00932CCE"/>
    <w:rsid w:val="00935DB4"/>
    <w:rsid w:val="00937B34"/>
    <w:rsid w:val="00940AF3"/>
    <w:rsid w:val="00940D2D"/>
    <w:rsid w:val="00940E9A"/>
    <w:rsid w:val="00943217"/>
    <w:rsid w:val="00943C39"/>
    <w:rsid w:val="00944B42"/>
    <w:rsid w:val="00945B48"/>
    <w:rsid w:val="00946191"/>
    <w:rsid w:val="00946867"/>
    <w:rsid w:val="00947060"/>
    <w:rsid w:val="00947CE0"/>
    <w:rsid w:val="00951194"/>
    <w:rsid w:val="009514BD"/>
    <w:rsid w:val="00951806"/>
    <w:rsid w:val="00952CEC"/>
    <w:rsid w:val="00953A8C"/>
    <w:rsid w:val="0095522C"/>
    <w:rsid w:val="00955780"/>
    <w:rsid w:val="00955DE7"/>
    <w:rsid w:val="00960176"/>
    <w:rsid w:val="00960D5E"/>
    <w:rsid w:val="00961713"/>
    <w:rsid w:val="00965663"/>
    <w:rsid w:val="00966BCA"/>
    <w:rsid w:val="00971744"/>
    <w:rsid w:val="00972044"/>
    <w:rsid w:val="009734AD"/>
    <w:rsid w:val="00975226"/>
    <w:rsid w:val="009803F6"/>
    <w:rsid w:val="00980BDD"/>
    <w:rsid w:val="009810A4"/>
    <w:rsid w:val="00984646"/>
    <w:rsid w:val="00986378"/>
    <w:rsid w:val="00987EDE"/>
    <w:rsid w:val="009910BC"/>
    <w:rsid w:val="00996CD4"/>
    <w:rsid w:val="00997AC2"/>
    <w:rsid w:val="009A06F0"/>
    <w:rsid w:val="009A13CA"/>
    <w:rsid w:val="009A1E72"/>
    <w:rsid w:val="009A47FE"/>
    <w:rsid w:val="009A6005"/>
    <w:rsid w:val="009A7BD3"/>
    <w:rsid w:val="009B76B9"/>
    <w:rsid w:val="009B7755"/>
    <w:rsid w:val="009C1A02"/>
    <w:rsid w:val="009C2BA8"/>
    <w:rsid w:val="009C3C04"/>
    <w:rsid w:val="009C4C60"/>
    <w:rsid w:val="009C7B18"/>
    <w:rsid w:val="009D06EA"/>
    <w:rsid w:val="009D3A4B"/>
    <w:rsid w:val="009D4E3D"/>
    <w:rsid w:val="009D5ABB"/>
    <w:rsid w:val="009D6011"/>
    <w:rsid w:val="009D654B"/>
    <w:rsid w:val="009D7E99"/>
    <w:rsid w:val="009E10A6"/>
    <w:rsid w:val="009E1503"/>
    <w:rsid w:val="009E298F"/>
    <w:rsid w:val="009E4067"/>
    <w:rsid w:val="009E411F"/>
    <w:rsid w:val="009F4F35"/>
    <w:rsid w:val="009F67A8"/>
    <w:rsid w:val="009F79FC"/>
    <w:rsid w:val="00A015F6"/>
    <w:rsid w:val="00A02ED9"/>
    <w:rsid w:val="00A07693"/>
    <w:rsid w:val="00A10700"/>
    <w:rsid w:val="00A162AF"/>
    <w:rsid w:val="00A17C93"/>
    <w:rsid w:val="00A20277"/>
    <w:rsid w:val="00A213FA"/>
    <w:rsid w:val="00A21438"/>
    <w:rsid w:val="00A227F2"/>
    <w:rsid w:val="00A234F0"/>
    <w:rsid w:val="00A23F73"/>
    <w:rsid w:val="00A2462D"/>
    <w:rsid w:val="00A2541B"/>
    <w:rsid w:val="00A25707"/>
    <w:rsid w:val="00A27C62"/>
    <w:rsid w:val="00A30D78"/>
    <w:rsid w:val="00A31D29"/>
    <w:rsid w:val="00A33073"/>
    <w:rsid w:val="00A34ED4"/>
    <w:rsid w:val="00A35039"/>
    <w:rsid w:val="00A36691"/>
    <w:rsid w:val="00A37B60"/>
    <w:rsid w:val="00A37FA3"/>
    <w:rsid w:val="00A400B1"/>
    <w:rsid w:val="00A41ADA"/>
    <w:rsid w:val="00A446EC"/>
    <w:rsid w:val="00A47204"/>
    <w:rsid w:val="00A56335"/>
    <w:rsid w:val="00A60477"/>
    <w:rsid w:val="00A62BC8"/>
    <w:rsid w:val="00A66061"/>
    <w:rsid w:val="00A66810"/>
    <w:rsid w:val="00A7022C"/>
    <w:rsid w:val="00A713A0"/>
    <w:rsid w:val="00A7210C"/>
    <w:rsid w:val="00A736D9"/>
    <w:rsid w:val="00A74C98"/>
    <w:rsid w:val="00A75058"/>
    <w:rsid w:val="00A83845"/>
    <w:rsid w:val="00A853F1"/>
    <w:rsid w:val="00A860D8"/>
    <w:rsid w:val="00A879CD"/>
    <w:rsid w:val="00A90AC0"/>
    <w:rsid w:val="00A91980"/>
    <w:rsid w:val="00A92E5D"/>
    <w:rsid w:val="00A930AC"/>
    <w:rsid w:val="00A94C31"/>
    <w:rsid w:val="00A94DF3"/>
    <w:rsid w:val="00A95887"/>
    <w:rsid w:val="00A9678F"/>
    <w:rsid w:val="00AA416C"/>
    <w:rsid w:val="00AA470D"/>
    <w:rsid w:val="00AA7E2E"/>
    <w:rsid w:val="00AB0987"/>
    <w:rsid w:val="00AB1512"/>
    <w:rsid w:val="00AB1B9C"/>
    <w:rsid w:val="00AB2512"/>
    <w:rsid w:val="00AB338C"/>
    <w:rsid w:val="00AB4F2C"/>
    <w:rsid w:val="00AB5F61"/>
    <w:rsid w:val="00AB62CE"/>
    <w:rsid w:val="00AC1478"/>
    <w:rsid w:val="00AC1776"/>
    <w:rsid w:val="00AC5FFB"/>
    <w:rsid w:val="00AC72E2"/>
    <w:rsid w:val="00AD4948"/>
    <w:rsid w:val="00AD4F43"/>
    <w:rsid w:val="00AD52EB"/>
    <w:rsid w:val="00AE034C"/>
    <w:rsid w:val="00AE2348"/>
    <w:rsid w:val="00AE23A1"/>
    <w:rsid w:val="00AE25F6"/>
    <w:rsid w:val="00AE2818"/>
    <w:rsid w:val="00AE2E78"/>
    <w:rsid w:val="00AE3A3A"/>
    <w:rsid w:val="00AE4F45"/>
    <w:rsid w:val="00AE5475"/>
    <w:rsid w:val="00AF11E5"/>
    <w:rsid w:val="00AF1A20"/>
    <w:rsid w:val="00AF3683"/>
    <w:rsid w:val="00AF3AA9"/>
    <w:rsid w:val="00B0205A"/>
    <w:rsid w:val="00B04C99"/>
    <w:rsid w:val="00B069A9"/>
    <w:rsid w:val="00B079C8"/>
    <w:rsid w:val="00B10177"/>
    <w:rsid w:val="00B123A6"/>
    <w:rsid w:val="00B12D18"/>
    <w:rsid w:val="00B12E5A"/>
    <w:rsid w:val="00B13C42"/>
    <w:rsid w:val="00B13E6F"/>
    <w:rsid w:val="00B15464"/>
    <w:rsid w:val="00B15A44"/>
    <w:rsid w:val="00B15E33"/>
    <w:rsid w:val="00B16472"/>
    <w:rsid w:val="00B16CFB"/>
    <w:rsid w:val="00B21B16"/>
    <w:rsid w:val="00B23C09"/>
    <w:rsid w:val="00B240EB"/>
    <w:rsid w:val="00B24162"/>
    <w:rsid w:val="00B25907"/>
    <w:rsid w:val="00B264D3"/>
    <w:rsid w:val="00B30CA6"/>
    <w:rsid w:val="00B31BD4"/>
    <w:rsid w:val="00B32C33"/>
    <w:rsid w:val="00B41398"/>
    <w:rsid w:val="00B416C8"/>
    <w:rsid w:val="00B425DD"/>
    <w:rsid w:val="00B457CC"/>
    <w:rsid w:val="00B458D7"/>
    <w:rsid w:val="00B47870"/>
    <w:rsid w:val="00B514B9"/>
    <w:rsid w:val="00B52D71"/>
    <w:rsid w:val="00B550C7"/>
    <w:rsid w:val="00B557E8"/>
    <w:rsid w:val="00B5591B"/>
    <w:rsid w:val="00B5774D"/>
    <w:rsid w:val="00B577C3"/>
    <w:rsid w:val="00B57FD1"/>
    <w:rsid w:val="00B61CF8"/>
    <w:rsid w:val="00B624B3"/>
    <w:rsid w:val="00B65B57"/>
    <w:rsid w:val="00B67D48"/>
    <w:rsid w:val="00B67FB8"/>
    <w:rsid w:val="00B701DB"/>
    <w:rsid w:val="00B72358"/>
    <w:rsid w:val="00B72829"/>
    <w:rsid w:val="00B758F8"/>
    <w:rsid w:val="00B76662"/>
    <w:rsid w:val="00B77FB5"/>
    <w:rsid w:val="00B80435"/>
    <w:rsid w:val="00B80E43"/>
    <w:rsid w:val="00B82F11"/>
    <w:rsid w:val="00B83095"/>
    <w:rsid w:val="00B83EBE"/>
    <w:rsid w:val="00B84D97"/>
    <w:rsid w:val="00B85842"/>
    <w:rsid w:val="00B85CC4"/>
    <w:rsid w:val="00B879D8"/>
    <w:rsid w:val="00B87F47"/>
    <w:rsid w:val="00B91D4E"/>
    <w:rsid w:val="00B928C5"/>
    <w:rsid w:val="00B9742F"/>
    <w:rsid w:val="00BA46A1"/>
    <w:rsid w:val="00BA5BA0"/>
    <w:rsid w:val="00BA617C"/>
    <w:rsid w:val="00BA68D7"/>
    <w:rsid w:val="00BA6D36"/>
    <w:rsid w:val="00BB00CD"/>
    <w:rsid w:val="00BB3A42"/>
    <w:rsid w:val="00BB5196"/>
    <w:rsid w:val="00BB5DF9"/>
    <w:rsid w:val="00BB6219"/>
    <w:rsid w:val="00BC558D"/>
    <w:rsid w:val="00BC6375"/>
    <w:rsid w:val="00BC7386"/>
    <w:rsid w:val="00BD015D"/>
    <w:rsid w:val="00BD02C3"/>
    <w:rsid w:val="00BD03FA"/>
    <w:rsid w:val="00BD0A14"/>
    <w:rsid w:val="00BD1222"/>
    <w:rsid w:val="00BD1E48"/>
    <w:rsid w:val="00BD1F89"/>
    <w:rsid w:val="00BD496A"/>
    <w:rsid w:val="00BD5AAC"/>
    <w:rsid w:val="00BD7656"/>
    <w:rsid w:val="00BE5C21"/>
    <w:rsid w:val="00BF1561"/>
    <w:rsid w:val="00BF2B04"/>
    <w:rsid w:val="00BF3051"/>
    <w:rsid w:val="00BF43B2"/>
    <w:rsid w:val="00BF5DAD"/>
    <w:rsid w:val="00BF639E"/>
    <w:rsid w:val="00BF673A"/>
    <w:rsid w:val="00BF70BD"/>
    <w:rsid w:val="00C0037C"/>
    <w:rsid w:val="00C01423"/>
    <w:rsid w:val="00C01B22"/>
    <w:rsid w:val="00C01B29"/>
    <w:rsid w:val="00C04025"/>
    <w:rsid w:val="00C10F35"/>
    <w:rsid w:val="00C136FD"/>
    <w:rsid w:val="00C15A74"/>
    <w:rsid w:val="00C1633A"/>
    <w:rsid w:val="00C1716D"/>
    <w:rsid w:val="00C17D98"/>
    <w:rsid w:val="00C214D5"/>
    <w:rsid w:val="00C21A78"/>
    <w:rsid w:val="00C26F9A"/>
    <w:rsid w:val="00C31EEB"/>
    <w:rsid w:val="00C369A6"/>
    <w:rsid w:val="00C36F90"/>
    <w:rsid w:val="00C4014C"/>
    <w:rsid w:val="00C41AD3"/>
    <w:rsid w:val="00C44EA9"/>
    <w:rsid w:val="00C46747"/>
    <w:rsid w:val="00C50469"/>
    <w:rsid w:val="00C54B39"/>
    <w:rsid w:val="00C55F28"/>
    <w:rsid w:val="00C57853"/>
    <w:rsid w:val="00C6000B"/>
    <w:rsid w:val="00C60CC6"/>
    <w:rsid w:val="00C642EC"/>
    <w:rsid w:val="00C64500"/>
    <w:rsid w:val="00C6533A"/>
    <w:rsid w:val="00C65361"/>
    <w:rsid w:val="00C662B1"/>
    <w:rsid w:val="00C7078F"/>
    <w:rsid w:val="00C709BD"/>
    <w:rsid w:val="00C71D1B"/>
    <w:rsid w:val="00C73D68"/>
    <w:rsid w:val="00C7521D"/>
    <w:rsid w:val="00C759A0"/>
    <w:rsid w:val="00C76C22"/>
    <w:rsid w:val="00C7784D"/>
    <w:rsid w:val="00C82A86"/>
    <w:rsid w:val="00C846DB"/>
    <w:rsid w:val="00C868C6"/>
    <w:rsid w:val="00C8711B"/>
    <w:rsid w:val="00C873C3"/>
    <w:rsid w:val="00C9147C"/>
    <w:rsid w:val="00C954F6"/>
    <w:rsid w:val="00C95D2F"/>
    <w:rsid w:val="00C972E4"/>
    <w:rsid w:val="00CA0570"/>
    <w:rsid w:val="00CA0AD8"/>
    <w:rsid w:val="00CA2794"/>
    <w:rsid w:val="00CA6612"/>
    <w:rsid w:val="00CA7272"/>
    <w:rsid w:val="00CA7D34"/>
    <w:rsid w:val="00CB141F"/>
    <w:rsid w:val="00CB2330"/>
    <w:rsid w:val="00CB5463"/>
    <w:rsid w:val="00CB6BB4"/>
    <w:rsid w:val="00CB6FB9"/>
    <w:rsid w:val="00CC51FB"/>
    <w:rsid w:val="00CD069A"/>
    <w:rsid w:val="00CD233F"/>
    <w:rsid w:val="00CD3D78"/>
    <w:rsid w:val="00CD6351"/>
    <w:rsid w:val="00CD6483"/>
    <w:rsid w:val="00CD6858"/>
    <w:rsid w:val="00CD7478"/>
    <w:rsid w:val="00CE056A"/>
    <w:rsid w:val="00CE3FCD"/>
    <w:rsid w:val="00CE43B3"/>
    <w:rsid w:val="00CE58B8"/>
    <w:rsid w:val="00CF1E57"/>
    <w:rsid w:val="00CF3DC7"/>
    <w:rsid w:val="00D01737"/>
    <w:rsid w:val="00D064CD"/>
    <w:rsid w:val="00D066B0"/>
    <w:rsid w:val="00D07A74"/>
    <w:rsid w:val="00D10E05"/>
    <w:rsid w:val="00D114B7"/>
    <w:rsid w:val="00D12B09"/>
    <w:rsid w:val="00D134BB"/>
    <w:rsid w:val="00D13568"/>
    <w:rsid w:val="00D13AD9"/>
    <w:rsid w:val="00D1466D"/>
    <w:rsid w:val="00D170E7"/>
    <w:rsid w:val="00D1733D"/>
    <w:rsid w:val="00D17D26"/>
    <w:rsid w:val="00D17F75"/>
    <w:rsid w:val="00D21C71"/>
    <w:rsid w:val="00D2273A"/>
    <w:rsid w:val="00D236F3"/>
    <w:rsid w:val="00D30305"/>
    <w:rsid w:val="00D34A1E"/>
    <w:rsid w:val="00D34AC6"/>
    <w:rsid w:val="00D369CB"/>
    <w:rsid w:val="00D36A57"/>
    <w:rsid w:val="00D373E6"/>
    <w:rsid w:val="00D3758A"/>
    <w:rsid w:val="00D40D35"/>
    <w:rsid w:val="00D427B5"/>
    <w:rsid w:val="00D43346"/>
    <w:rsid w:val="00D4564D"/>
    <w:rsid w:val="00D46687"/>
    <w:rsid w:val="00D46FB4"/>
    <w:rsid w:val="00D502A2"/>
    <w:rsid w:val="00D511A1"/>
    <w:rsid w:val="00D52926"/>
    <w:rsid w:val="00D53B77"/>
    <w:rsid w:val="00D53CC0"/>
    <w:rsid w:val="00D5498E"/>
    <w:rsid w:val="00D56207"/>
    <w:rsid w:val="00D5696D"/>
    <w:rsid w:val="00D56BAB"/>
    <w:rsid w:val="00D56E8E"/>
    <w:rsid w:val="00D56F9C"/>
    <w:rsid w:val="00D5709D"/>
    <w:rsid w:val="00D5781A"/>
    <w:rsid w:val="00D61602"/>
    <w:rsid w:val="00D631F0"/>
    <w:rsid w:val="00D6321B"/>
    <w:rsid w:val="00D64EC8"/>
    <w:rsid w:val="00D72007"/>
    <w:rsid w:val="00D74877"/>
    <w:rsid w:val="00D751DD"/>
    <w:rsid w:val="00D77646"/>
    <w:rsid w:val="00D83427"/>
    <w:rsid w:val="00D838B3"/>
    <w:rsid w:val="00D849EF"/>
    <w:rsid w:val="00D9259A"/>
    <w:rsid w:val="00D93D56"/>
    <w:rsid w:val="00D93FFF"/>
    <w:rsid w:val="00D97D81"/>
    <w:rsid w:val="00DA03FF"/>
    <w:rsid w:val="00DA07DA"/>
    <w:rsid w:val="00DA1542"/>
    <w:rsid w:val="00DA1C6D"/>
    <w:rsid w:val="00DA6D5C"/>
    <w:rsid w:val="00DB2BF7"/>
    <w:rsid w:val="00DB3EA9"/>
    <w:rsid w:val="00DB43CD"/>
    <w:rsid w:val="00DB511D"/>
    <w:rsid w:val="00DB64B4"/>
    <w:rsid w:val="00DB7C3A"/>
    <w:rsid w:val="00DC08ED"/>
    <w:rsid w:val="00DC2607"/>
    <w:rsid w:val="00DC3948"/>
    <w:rsid w:val="00DC6FB4"/>
    <w:rsid w:val="00DD312B"/>
    <w:rsid w:val="00DD4E18"/>
    <w:rsid w:val="00DD582F"/>
    <w:rsid w:val="00DE01F7"/>
    <w:rsid w:val="00DE0344"/>
    <w:rsid w:val="00DE38D8"/>
    <w:rsid w:val="00DE4C3C"/>
    <w:rsid w:val="00DE6650"/>
    <w:rsid w:val="00DE72C2"/>
    <w:rsid w:val="00DE7FF8"/>
    <w:rsid w:val="00DF04D2"/>
    <w:rsid w:val="00DF0A43"/>
    <w:rsid w:val="00DF16EF"/>
    <w:rsid w:val="00DF3AFF"/>
    <w:rsid w:val="00DF559C"/>
    <w:rsid w:val="00DF6DA7"/>
    <w:rsid w:val="00DF751C"/>
    <w:rsid w:val="00E04583"/>
    <w:rsid w:val="00E048F3"/>
    <w:rsid w:val="00E05D25"/>
    <w:rsid w:val="00E05F46"/>
    <w:rsid w:val="00E128D1"/>
    <w:rsid w:val="00E12B16"/>
    <w:rsid w:val="00E1712A"/>
    <w:rsid w:val="00E1763B"/>
    <w:rsid w:val="00E202C5"/>
    <w:rsid w:val="00E21E1F"/>
    <w:rsid w:val="00E225B1"/>
    <w:rsid w:val="00E2271F"/>
    <w:rsid w:val="00E24EF3"/>
    <w:rsid w:val="00E25549"/>
    <w:rsid w:val="00E26CFC"/>
    <w:rsid w:val="00E26D9D"/>
    <w:rsid w:val="00E27D84"/>
    <w:rsid w:val="00E3068C"/>
    <w:rsid w:val="00E31C7A"/>
    <w:rsid w:val="00E32E16"/>
    <w:rsid w:val="00E366B5"/>
    <w:rsid w:val="00E36D40"/>
    <w:rsid w:val="00E4006C"/>
    <w:rsid w:val="00E4061B"/>
    <w:rsid w:val="00E40D80"/>
    <w:rsid w:val="00E44194"/>
    <w:rsid w:val="00E44BC0"/>
    <w:rsid w:val="00E50FFB"/>
    <w:rsid w:val="00E52B42"/>
    <w:rsid w:val="00E5352D"/>
    <w:rsid w:val="00E53828"/>
    <w:rsid w:val="00E56C3A"/>
    <w:rsid w:val="00E5788C"/>
    <w:rsid w:val="00E602DA"/>
    <w:rsid w:val="00E60792"/>
    <w:rsid w:val="00E61DDB"/>
    <w:rsid w:val="00E64435"/>
    <w:rsid w:val="00E67AF1"/>
    <w:rsid w:val="00E7045D"/>
    <w:rsid w:val="00E70673"/>
    <w:rsid w:val="00E70A24"/>
    <w:rsid w:val="00E7396B"/>
    <w:rsid w:val="00E759A6"/>
    <w:rsid w:val="00E772D8"/>
    <w:rsid w:val="00E80BA9"/>
    <w:rsid w:val="00E816F8"/>
    <w:rsid w:val="00E841CA"/>
    <w:rsid w:val="00E84BCE"/>
    <w:rsid w:val="00E85DE5"/>
    <w:rsid w:val="00E861FF"/>
    <w:rsid w:val="00E87146"/>
    <w:rsid w:val="00E9230F"/>
    <w:rsid w:val="00E93927"/>
    <w:rsid w:val="00E972E6"/>
    <w:rsid w:val="00EA02D1"/>
    <w:rsid w:val="00EA25D5"/>
    <w:rsid w:val="00EA47FB"/>
    <w:rsid w:val="00EA5545"/>
    <w:rsid w:val="00EA5A28"/>
    <w:rsid w:val="00EA60E7"/>
    <w:rsid w:val="00EA61D3"/>
    <w:rsid w:val="00EA6484"/>
    <w:rsid w:val="00EA6ED6"/>
    <w:rsid w:val="00EB045A"/>
    <w:rsid w:val="00EB3075"/>
    <w:rsid w:val="00EB3E1B"/>
    <w:rsid w:val="00EB407A"/>
    <w:rsid w:val="00EB4E11"/>
    <w:rsid w:val="00EB76BE"/>
    <w:rsid w:val="00EC18CC"/>
    <w:rsid w:val="00EC2CA6"/>
    <w:rsid w:val="00EC5FAD"/>
    <w:rsid w:val="00EC69BD"/>
    <w:rsid w:val="00EC69D9"/>
    <w:rsid w:val="00ED09FB"/>
    <w:rsid w:val="00ED2B6F"/>
    <w:rsid w:val="00ED2D28"/>
    <w:rsid w:val="00ED6901"/>
    <w:rsid w:val="00ED7A98"/>
    <w:rsid w:val="00EE2B79"/>
    <w:rsid w:val="00EE2C48"/>
    <w:rsid w:val="00EE2E9F"/>
    <w:rsid w:val="00EE5176"/>
    <w:rsid w:val="00EE56EC"/>
    <w:rsid w:val="00EE5ED5"/>
    <w:rsid w:val="00EE79F1"/>
    <w:rsid w:val="00EE7C4F"/>
    <w:rsid w:val="00EF032B"/>
    <w:rsid w:val="00EF16DE"/>
    <w:rsid w:val="00EF1B8A"/>
    <w:rsid w:val="00EF29FC"/>
    <w:rsid w:val="00EF2C0A"/>
    <w:rsid w:val="00EF5243"/>
    <w:rsid w:val="00EF62CA"/>
    <w:rsid w:val="00EF664E"/>
    <w:rsid w:val="00F00272"/>
    <w:rsid w:val="00F01FD3"/>
    <w:rsid w:val="00F02557"/>
    <w:rsid w:val="00F0513E"/>
    <w:rsid w:val="00F10639"/>
    <w:rsid w:val="00F12A70"/>
    <w:rsid w:val="00F13E4B"/>
    <w:rsid w:val="00F14E1A"/>
    <w:rsid w:val="00F16F84"/>
    <w:rsid w:val="00F24287"/>
    <w:rsid w:val="00F25BDC"/>
    <w:rsid w:val="00F26247"/>
    <w:rsid w:val="00F26BC6"/>
    <w:rsid w:val="00F26F55"/>
    <w:rsid w:val="00F2781B"/>
    <w:rsid w:val="00F31F3C"/>
    <w:rsid w:val="00F34B05"/>
    <w:rsid w:val="00F35A4E"/>
    <w:rsid w:val="00F35C4E"/>
    <w:rsid w:val="00F36C07"/>
    <w:rsid w:val="00F3717B"/>
    <w:rsid w:val="00F41261"/>
    <w:rsid w:val="00F41335"/>
    <w:rsid w:val="00F41E06"/>
    <w:rsid w:val="00F42B16"/>
    <w:rsid w:val="00F4478D"/>
    <w:rsid w:val="00F44F7A"/>
    <w:rsid w:val="00F45022"/>
    <w:rsid w:val="00F46464"/>
    <w:rsid w:val="00F466C7"/>
    <w:rsid w:val="00F468CE"/>
    <w:rsid w:val="00F46D03"/>
    <w:rsid w:val="00F47F67"/>
    <w:rsid w:val="00F505A8"/>
    <w:rsid w:val="00F523DD"/>
    <w:rsid w:val="00F52D89"/>
    <w:rsid w:val="00F53DBB"/>
    <w:rsid w:val="00F55783"/>
    <w:rsid w:val="00F56587"/>
    <w:rsid w:val="00F56FAE"/>
    <w:rsid w:val="00F624C0"/>
    <w:rsid w:val="00F66089"/>
    <w:rsid w:val="00F708E1"/>
    <w:rsid w:val="00F72162"/>
    <w:rsid w:val="00F7392A"/>
    <w:rsid w:val="00F73C22"/>
    <w:rsid w:val="00F743E9"/>
    <w:rsid w:val="00F80B03"/>
    <w:rsid w:val="00F863A5"/>
    <w:rsid w:val="00F86AEC"/>
    <w:rsid w:val="00F91EB5"/>
    <w:rsid w:val="00F932EA"/>
    <w:rsid w:val="00F93E6D"/>
    <w:rsid w:val="00F94E41"/>
    <w:rsid w:val="00F9652C"/>
    <w:rsid w:val="00F966B0"/>
    <w:rsid w:val="00F96F20"/>
    <w:rsid w:val="00F96F75"/>
    <w:rsid w:val="00F96FA8"/>
    <w:rsid w:val="00F9703A"/>
    <w:rsid w:val="00F976F0"/>
    <w:rsid w:val="00FA0DBD"/>
    <w:rsid w:val="00FA172F"/>
    <w:rsid w:val="00FA23EF"/>
    <w:rsid w:val="00FA32DF"/>
    <w:rsid w:val="00FA500C"/>
    <w:rsid w:val="00FA59AF"/>
    <w:rsid w:val="00FA6337"/>
    <w:rsid w:val="00FA7FD5"/>
    <w:rsid w:val="00FB05E9"/>
    <w:rsid w:val="00FB1874"/>
    <w:rsid w:val="00FB337C"/>
    <w:rsid w:val="00FB4F80"/>
    <w:rsid w:val="00FB51BA"/>
    <w:rsid w:val="00FB581A"/>
    <w:rsid w:val="00FB7517"/>
    <w:rsid w:val="00FB7C89"/>
    <w:rsid w:val="00FC071A"/>
    <w:rsid w:val="00FC22A8"/>
    <w:rsid w:val="00FC282B"/>
    <w:rsid w:val="00FC2A25"/>
    <w:rsid w:val="00FC38D5"/>
    <w:rsid w:val="00FC6527"/>
    <w:rsid w:val="00FD08F8"/>
    <w:rsid w:val="00FD15E8"/>
    <w:rsid w:val="00FD4AED"/>
    <w:rsid w:val="00FD5664"/>
    <w:rsid w:val="00FD7303"/>
    <w:rsid w:val="00FD7741"/>
    <w:rsid w:val="00FE0BFB"/>
    <w:rsid w:val="00FE29D8"/>
    <w:rsid w:val="00FE2C44"/>
    <w:rsid w:val="00FE3225"/>
    <w:rsid w:val="00FE6213"/>
    <w:rsid w:val="00FE6A8E"/>
    <w:rsid w:val="00FE7D74"/>
    <w:rsid w:val="00FF0BDF"/>
    <w:rsid w:val="00FF3F8C"/>
    <w:rsid w:val="00FF4583"/>
    <w:rsid w:val="00FF69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597BE2"/>
  <w14:defaultImageDpi w14:val="32767"/>
  <w15:chartTrackingRefBased/>
  <w15:docId w15:val="{3FCDF335-0E74-754A-BE2B-98A98DBB1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AED"/>
    <w:rPr>
      <w:rFonts w:ascii="Times New Roman" w:eastAsia="Times New Roman" w:hAnsi="Times New Roman" w:cs="Times New Roman"/>
      <w:lang w:eastAsia="zh-CN"/>
    </w:rPr>
  </w:style>
  <w:style w:type="paragraph" w:styleId="Heading1">
    <w:name w:val="heading 1"/>
    <w:basedOn w:val="Normal"/>
    <w:link w:val="Heading1Char"/>
    <w:uiPriority w:val="9"/>
    <w:qFormat/>
    <w:rsid w:val="00F7392A"/>
    <w:pPr>
      <w:spacing w:before="100" w:beforeAutospacing="1" w:after="100" w:afterAutospacing="1"/>
      <w:outlineLvl w:val="0"/>
    </w:pPr>
    <w:rPr>
      <w:rFonts w:eastAsia="SimSun"/>
      <w:b/>
      <w:bCs/>
      <w:kern w:val="36"/>
      <w:sz w:val="48"/>
      <w:szCs w:val="48"/>
    </w:rPr>
  </w:style>
  <w:style w:type="paragraph" w:styleId="Heading2">
    <w:name w:val="heading 2"/>
    <w:basedOn w:val="Normal"/>
    <w:link w:val="Heading2Char"/>
    <w:uiPriority w:val="9"/>
    <w:qFormat/>
    <w:rsid w:val="005E3D69"/>
    <w:pPr>
      <w:spacing w:before="100" w:beforeAutospacing="1" w:after="100" w:afterAutospacing="1"/>
      <w:outlineLvl w:val="1"/>
    </w:pPr>
    <w:rPr>
      <w:rFonts w:eastAsia="SimSun"/>
      <w:b/>
      <w:bCs/>
      <w:sz w:val="36"/>
      <w:szCs w:val="36"/>
    </w:rPr>
  </w:style>
  <w:style w:type="paragraph" w:styleId="Heading3">
    <w:name w:val="heading 3"/>
    <w:basedOn w:val="Normal"/>
    <w:next w:val="Normal"/>
    <w:link w:val="Heading3Char"/>
    <w:uiPriority w:val="9"/>
    <w:semiHidden/>
    <w:unhideWhenUsed/>
    <w:qFormat/>
    <w:rsid w:val="000E456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66B3"/>
    <w:pPr>
      <w:tabs>
        <w:tab w:val="center" w:pos="4680"/>
        <w:tab w:val="right" w:pos="9360"/>
      </w:tabs>
    </w:pPr>
    <w:rPr>
      <w:rFonts w:asciiTheme="minorHAnsi" w:eastAsia="SimSun" w:hAnsiTheme="minorHAnsi" w:cstheme="minorBidi"/>
      <w:lang w:eastAsia="en-US"/>
    </w:rPr>
  </w:style>
  <w:style w:type="character" w:customStyle="1" w:styleId="HeaderChar">
    <w:name w:val="Header Char"/>
    <w:basedOn w:val="DefaultParagraphFont"/>
    <w:link w:val="Header"/>
    <w:uiPriority w:val="99"/>
    <w:rsid w:val="008166B3"/>
  </w:style>
  <w:style w:type="paragraph" w:styleId="Footer">
    <w:name w:val="footer"/>
    <w:basedOn w:val="Normal"/>
    <w:link w:val="FooterChar"/>
    <w:uiPriority w:val="99"/>
    <w:unhideWhenUsed/>
    <w:rsid w:val="008166B3"/>
    <w:pPr>
      <w:tabs>
        <w:tab w:val="center" w:pos="4680"/>
        <w:tab w:val="right" w:pos="9360"/>
      </w:tabs>
    </w:pPr>
    <w:rPr>
      <w:rFonts w:asciiTheme="minorHAnsi" w:eastAsia="SimSun" w:hAnsiTheme="minorHAnsi" w:cstheme="minorBidi"/>
      <w:lang w:eastAsia="en-US"/>
    </w:rPr>
  </w:style>
  <w:style w:type="character" w:customStyle="1" w:styleId="FooterChar">
    <w:name w:val="Footer Char"/>
    <w:basedOn w:val="DefaultParagraphFont"/>
    <w:link w:val="Footer"/>
    <w:uiPriority w:val="99"/>
    <w:rsid w:val="008166B3"/>
  </w:style>
  <w:style w:type="paragraph" w:styleId="ListParagraph">
    <w:name w:val="List Paragraph"/>
    <w:basedOn w:val="Normal"/>
    <w:uiPriority w:val="34"/>
    <w:qFormat/>
    <w:rsid w:val="00C214D5"/>
    <w:pPr>
      <w:ind w:left="720"/>
      <w:contextualSpacing/>
    </w:pPr>
    <w:rPr>
      <w:rFonts w:asciiTheme="minorHAnsi" w:eastAsia="SimSun" w:hAnsiTheme="minorHAnsi" w:cstheme="minorBidi"/>
      <w:lang w:eastAsia="en-US"/>
    </w:rPr>
  </w:style>
  <w:style w:type="character" w:customStyle="1" w:styleId="apple-converted-space">
    <w:name w:val="apple-converted-space"/>
    <w:basedOn w:val="DefaultParagraphFont"/>
    <w:rsid w:val="002573AC"/>
  </w:style>
  <w:style w:type="character" w:styleId="HTMLTypewriter">
    <w:name w:val="HTML Typewriter"/>
    <w:basedOn w:val="DefaultParagraphFont"/>
    <w:uiPriority w:val="99"/>
    <w:semiHidden/>
    <w:unhideWhenUsed/>
    <w:rsid w:val="002573AC"/>
    <w:rPr>
      <w:rFonts w:ascii="Courier New" w:eastAsia="SimSun" w:hAnsi="Courier New" w:cs="Courier New"/>
      <w:sz w:val="20"/>
      <w:szCs w:val="20"/>
    </w:rPr>
  </w:style>
  <w:style w:type="paragraph" w:styleId="NormalWeb">
    <w:name w:val="Normal (Web)"/>
    <w:basedOn w:val="Normal"/>
    <w:uiPriority w:val="99"/>
    <w:semiHidden/>
    <w:unhideWhenUsed/>
    <w:rsid w:val="006E1FF0"/>
    <w:pPr>
      <w:spacing w:before="100" w:beforeAutospacing="1" w:after="100" w:afterAutospacing="1"/>
    </w:pPr>
    <w:rPr>
      <w:rFonts w:eastAsiaTheme="minorEastAsia"/>
    </w:rPr>
  </w:style>
  <w:style w:type="paragraph" w:styleId="NoSpacing">
    <w:name w:val="No Spacing"/>
    <w:link w:val="NoSpacingChar"/>
    <w:uiPriority w:val="1"/>
    <w:qFormat/>
    <w:rsid w:val="00D134BB"/>
    <w:rPr>
      <w:rFonts w:eastAsiaTheme="minorEastAsia"/>
      <w:sz w:val="22"/>
      <w:szCs w:val="22"/>
      <w:lang w:eastAsia="zh-CN"/>
    </w:rPr>
  </w:style>
  <w:style w:type="paragraph" w:styleId="HTMLPreformatted">
    <w:name w:val="HTML Preformatted"/>
    <w:basedOn w:val="Normal"/>
    <w:link w:val="HTMLPreformattedChar"/>
    <w:uiPriority w:val="99"/>
    <w:unhideWhenUsed/>
    <w:rsid w:val="00AF1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SimSun" w:hAnsi="Courier New" w:cs="Courier New"/>
      <w:sz w:val="20"/>
      <w:szCs w:val="20"/>
    </w:rPr>
  </w:style>
  <w:style w:type="character" w:customStyle="1" w:styleId="HTMLPreformattedChar">
    <w:name w:val="HTML Preformatted Char"/>
    <w:basedOn w:val="DefaultParagraphFont"/>
    <w:link w:val="HTMLPreformatted"/>
    <w:uiPriority w:val="99"/>
    <w:rsid w:val="00AF11E5"/>
    <w:rPr>
      <w:rFonts w:ascii="Courier New" w:hAnsi="Courier New" w:cs="Courier New"/>
      <w:sz w:val="20"/>
      <w:szCs w:val="20"/>
      <w:lang w:eastAsia="zh-CN"/>
    </w:rPr>
  </w:style>
  <w:style w:type="character" w:customStyle="1" w:styleId="NoSpacingChar">
    <w:name w:val="No Spacing Char"/>
    <w:basedOn w:val="DefaultParagraphFont"/>
    <w:link w:val="NoSpacing"/>
    <w:uiPriority w:val="1"/>
    <w:rsid w:val="000F5DE6"/>
    <w:rPr>
      <w:rFonts w:eastAsiaTheme="minorEastAsia"/>
      <w:sz w:val="22"/>
      <w:szCs w:val="22"/>
      <w:lang w:eastAsia="zh-CN"/>
    </w:rPr>
  </w:style>
  <w:style w:type="character" w:styleId="Hyperlink">
    <w:name w:val="Hyperlink"/>
    <w:basedOn w:val="DefaultParagraphFont"/>
    <w:uiPriority w:val="99"/>
    <w:unhideWhenUsed/>
    <w:rsid w:val="00281D5E"/>
    <w:rPr>
      <w:color w:val="0000FF"/>
      <w:u w:val="single"/>
    </w:rPr>
  </w:style>
  <w:style w:type="character" w:customStyle="1" w:styleId="Heading1Char">
    <w:name w:val="Heading 1 Char"/>
    <w:basedOn w:val="DefaultParagraphFont"/>
    <w:link w:val="Heading1"/>
    <w:uiPriority w:val="9"/>
    <w:rsid w:val="00F7392A"/>
    <w:rPr>
      <w:rFonts w:ascii="Times New Roman" w:hAnsi="Times New Roman" w:cs="Times New Roman"/>
      <w:b/>
      <w:bCs/>
      <w:kern w:val="36"/>
      <w:sz w:val="48"/>
      <w:szCs w:val="48"/>
      <w:lang w:eastAsia="zh-CN"/>
    </w:rPr>
  </w:style>
  <w:style w:type="character" w:customStyle="1" w:styleId="Heading2Char">
    <w:name w:val="Heading 2 Char"/>
    <w:basedOn w:val="DefaultParagraphFont"/>
    <w:link w:val="Heading2"/>
    <w:uiPriority w:val="9"/>
    <w:rsid w:val="005E3D69"/>
    <w:rPr>
      <w:rFonts w:ascii="Times New Roman" w:hAnsi="Times New Roman" w:cs="Times New Roman"/>
      <w:b/>
      <w:bCs/>
      <w:sz w:val="36"/>
      <w:szCs w:val="36"/>
      <w:lang w:eastAsia="zh-CN"/>
    </w:rPr>
  </w:style>
  <w:style w:type="character" w:customStyle="1" w:styleId="mw-headline">
    <w:name w:val="mw-headline"/>
    <w:basedOn w:val="DefaultParagraphFont"/>
    <w:rsid w:val="005E3D69"/>
  </w:style>
  <w:style w:type="paragraph" w:styleId="Date">
    <w:name w:val="Date"/>
    <w:basedOn w:val="Normal"/>
    <w:next w:val="Normal"/>
    <w:link w:val="DateChar"/>
    <w:uiPriority w:val="99"/>
    <w:semiHidden/>
    <w:unhideWhenUsed/>
    <w:rsid w:val="000B41CB"/>
  </w:style>
  <w:style w:type="character" w:customStyle="1" w:styleId="DateChar">
    <w:name w:val="Date Char"/>
    <w:basedOn w:val="DefaultParagraphFont"/>
    <w:link w:val="Date"/>
    <w:uiPriority w:val="99"/>
    <w:semiHidden/>
    <w:rsid w:val="000B41CB"/>
    <w:rPr>
      <w:rFonts w:ascii="Times New Roman" w:hAnsi="Times New Roman" w:cs="Times New Roman"/>
      <w:lang w:eastAsia="zh-CN"/>
    </w:rPr>
  </w:style>
  <w:style w:type="character" w:styleId="PlaceholderText">
    <w:name w:val="Placeholder Text"/>
    <w:basedOn w:val="DefaultParagraphFont"/>
    <w:uiPriority w:val="99"/>
    <w:semiHidden/>
    <w:rsid w:val="00A35039"/>
    <w:rPr>
      <w:color w:val="808080"/>
    </w:rPr>
  </w:style>
  <w:style w:type="paragraph" w:styleId="BalloonText">
    <w:name w:val="Balloon Text"/>
    <w:basedOn w:val="Normal"/>
    <w:link w:val="BalloonTextChar"/>
    <w:uiPriority w:val="99"/>
    <w:semiHidden/>
    <w:unhideWhenUsed/>
    <w:rsid w:val="00F26F55"/>
    <w:rPr>
      <w:rFonts w:eastAsia="SimSun"/>
      <w:sz w:val="18"/>
      <w:szCs w:val="18"/>
    </w:rPr>
  </w:style>
  <w:style w:type="character" w:customStyle="1" w:styleId="BalloonTextChar">
    <w:name w:val="Balloon Text Char"/>
    <w:basedOn w:val="DefaultParagraphFont"/>
    <w:link w:val="BalloonText"/>
    <w:uiPriority w:val="99"/>
    <w:semiHidden/>
    <w:rsid w:val="00F26F55"/>
    <w:rPr>
      <w:rFonts w:ascii="Times New Roman" w:hAnsi="Times New Roman" w:cs="Times New Roman"/>
      <w:sz w:val="18"/>
      <w:szCs w:val="18"/>
      <w:lang w:eastAsia="zh-CN"/>
    </w:rPr>
  </w:style>
  <w:style w:type="character" w:styleId="CommentReference">
    <w:name w:val="annotation reference"/>
    <w:basedOn w:val="DefaultParagraphFont"/>
    <w:uiPriority w:val="99"/>
    <w:semiHidden/>
    <w:unhideWhenUsed/>
    <w:rsid w:val="00C8711B"/>
    <w:rPr>
      <w:sz w:val="16"/>
      <w:szCs w:val="16"/>
    </w:rPr>
  </w:style>
  <w:style w:type="paragraph" w:styleId="CommentText">
    <w:name w:val="annotation text"/>
    <w:basedOn w:val="Normal"/>
    <w:link w:val="CommentTextChar"/>
    <w:uiPriority w:val="99"/>
    <w:semiHidden/>
    <w:unhideWhenUsed/>
    <w:rsid w:val="00C8711B"/>
    <w:rPr>
      <w:rFonts w:eastAsia="SimSun"/>
      <w:sz w:val="20"/>
      <w:szCs w:val="20"/>
    </w:rPr>
  </w:style>
  <w:style w:type="character" w:customStyle="1" w:styleId="CommentTextChar">
    <w:name w:val="Comment Text Char"/>
    <w:basedOn w:val="DefaultParagraphFont"/>
    <w:link w:val="CommentText"/>
    <w:uiPriority w:val="99"/>
    <w:semiHidden/>
    <w:rsid w:val="00C8711B"/>
    <w:rPr>
      <w:rFonts w:ascii="Times New Roman" w:hAnsi="Times New Roman" w:cs="Times New Roman"/>
      <w:sz w:val="20"/>
      <w:szCs w:val="20"/>
      <w:lang w:eastAsia="zh-CN"/>
    </w:rPr>
  </w:style>
  <w:style w:type="paragraph" w:styleId="CommentSubject">
    <w:name w:val="annotation subject"/>
    <w:basedOn w:val="CommentText"/>
    <w:next w:val="CommentText"/>
    <w:link w:val="CommentSubjectChar"/>
    <w:uiPriority w:val="99"/>
    <w:semiHidden/>
    <w:unhideWhenUsed/>
    <w:rsid w:val="00C8711B"/>
    <w:rPr>
      <w:b/>
      <w:bCs/>
    </w:rPr>
  </w:style>
  <w:style w:type="character" w:customStyle="1" w:styleId="CommentSubjectChar">
    <w:name w:val="Comment Subject Char"/>
    <w:basedOn w:val="CommentTextChar"/>
    <w:link w:val="CommentSubject"/>
    <w:uiPriority w:val="99"/>
    <w:semiHidden/>
    <w:rsid w:val="00C8711B"/>
    <w:rPr>
      <w:rFonts w:ascii="Times New Roman" w:hAnsi="Times New Roman" w:cs="Times New Roman"/>
      <w:b/>
      <w:bCs/>
      <w:sz w:val="20"/>
      <w:szCs w:val="20"/>
      <w:lang w:eastAsia="zh-CN"/>
    </w:rPr>
  </w:style>
  <w:style w:type="character" w:styleId="Emphasis">
    <w:name w:val="Emphasis"/>
    <w:basedOn w:val="DefaultParagraphFont"/>
    <w:uiPriority w:val="20"/>
    <w:qFormat/>
    <w:rsid w:val="00E93927"/>
    <w:rPr>
      <w:i/>
      <w:iCs/>
    </w:rPr>
  </w:style>
  <w:style w:type="character" w:styleId="FollowedHyperlink">
    <w:name w:val="FollowedHyperlink"/>
    <w:basedOn w:val="DefaultParagraphFont"/>
    <w:uiPriority w:val="99"/>
    <w:semiHidden/>
    <w:unhideWhenUsed/>
    <w:rsid w:val="001E3A9A"/>
    <w:rPr>
      <w:color w:val="954F72" w:themeColor="followedHyperlink"/>
      <w:u w:val="single"/>
    </w:rPr>
  </w:style>
  <w:style w:type="paragraph" w:customStyle="1" w:styleId="EndNoteBibliographyTitle">
    <w:name w:val="EndNote Bibliography Title"/>
    <w:basedOn w:val="Normal"/>
    <w:link w:val="EndNoteBibliographyTitleChar"/>
    <w:rsid w:val="00191D9D"/>
    <w:pPr>
      <w:jc w:val="center"/>
    </w:pPr>
  </w:style>
  <w:style w:type="character" w:customStyle="1" w:styleId="EndNoteBibliographyTitleChar">
    <w:name w:val="EndNote Bibliography Title Char"/>
    <w:basedOn w:val="DefaultParagraphFont"/>
    <w:link w:val="EndNoteBibliographyTitle"/>
    <w:rsid w:val="00191D9D"/>
    <w:rPr>
      <w:rFonts w:ascii="Times New Roman" w:eastAsia="Times New Roman" w:hAnsi="Times New Roman" w:cs="Times New Roman"/>
      <w:lang w:eastAsia="zh-CN"/>
    </w:rPr>
  </w:style>
  <w:style w:type="paragraph" w:customStyle="1" w:styleId="EndNoteBibliography">
    <w:name w:val="EndNote Bibliography"/>
    <w:basedOn w:val="Normal"/>
    <w:link w:val="EndNoteBibliographyChar"/>
    <w:rsid w:val="00191D9D"/>
  </w:style>
  <w:style w:type="character" w:customStyle="1" w:styleId="EndNoteBibliographyChar">
    <w:name w:val="EndNote Bibliography Char"/>
    <w:basedOn w:val="DefaultParagraphFont"/>
    <w:link w:val="EndNoteBibliography"/>
    <w:rsid w:val="00191D9D"/>
    <w:rPr>
      <w:rFonts w:ascii="Times New Roman" w:eastAsia="Times New Roman" w:hAnsi="Times New Roman" w:cs="Times New Roman"/>
      <w:lang w:eastAsia="zh-CN"/>
    </w:rPr>
  </w:style>
  <w:style w:type="character" w:customStyle="1" w:styleId="UnresolvedMention1">
    <w:name w:val="Unresolved Mention1"/>
    <w:basedOn w:val="DefaultParagraphFont"/>
    <w:uiPriority w:val="99"/>
    <w:semiHidden/>
    <w:unhideWhenUsed/>
    <w:rsid w:val="00191D9D"/>
    <w:rPr>
      <w:color w:val="605E5C"/>
      <w:shd w:val="clear" w:color="auto" w:fill="E1DFDD"/>
    </w:rPr>
  </w:style>
  <w:style w:type="character" w:customStyle="1" w:styleId="Heading3Char">
    <w:name w:val="Heading 3 Char"/>
    <w:basedOn w:val="DefaultParagraphFont"/>
    <w:link w:val="Heading3"/>
    <w:uiPriority w:val="9"/>
    <w:semiHidden/>
    <w:rsid w:val="000E4564"/>
    <w:rPr>
      <w:rFonts w:asciiTheme="majorHAnsi" w:eastAsiaTheme="majorEastAsia" w:hAnsiTheme="majorHAnsi" w:cstheme="majorBidi"/>
      <w:color w:val="1F3763" w:themeColor="accent1" w:themeShade="7F"/>
      <w:lang w:eastAsia="zh-CN"/>
    </w:rPr>
  </w:style>
  <w:style w:type="paragraph" w:customStyle="1" w:styleId="mb-0">
    <w:name w:val="mb-0"/>
    <w:basedOn w:val="Normal"/>
    <w:rsid w:val="00B87F47"/>
    <w:pPr>
      <w:spacing w:before="100" w:beforeAutospacing="1" w:after="100" w:afterAutospacing="1"/>
    </w:pPr>
  </w:style>
  <w:style w:type="character" w:customStyle="1" w:styleId="nowrap">
    <w:name w:val="nowrap"/>
    <w:basedOn w:val="DefaultParagraphFont"/>
    <w:rsid w:val="00B87F47"/>
  </w:style>
  <w:style w:type="character" w:customStyle="1" w:styleId="gsct1">
    <w:name w:val="gs_ct1"/>
    <w:basedOn w:val="DefaultParagraphFont"/>
    <w:rsid w:val="003A66BB"/>
  </w:style>
  <w:style w:type="paragraph" w:customStyle="1" w:styleId="c-author-listitem">
    <w:name w:val="c-author-list__item"/>
    <w:basedOn w:val="Normal"/>
    <w:rsid w:val="00F13E4B"/>
    <w:pPr>
      <w:spacing w:before="100" w:beforeAutospacing="1" w:after="100" w:afterAutospacing="1"/>
    </w:pPr>
  </w:style>
  <w:style w:type="paragraph" w:customStyle="1" w:styleId="c-article-identifiersitem">
    <w:name w:val="c-article-identifiers__item"/>
    <w:basedOn w:val="Normal"/>
    <w:rsid w:val="003E39AA"/>
    <w:pPr>
      <w:spacing w:before="100" w:beforeAutospacing="1" w:after="100" w:afterAutospacing="1"/>
    </w:pPr>
  </w:style>
  <w:style w:type="character" w:customStyle="1" w:styleId="c-article-identifiersopen">
    <w:name w:val="c-article-identifiers__open"/>
    <w:basedOn w:val="DefaultParagraphFont"/>
    <w:rsid w:val="003E39AA"/>
  </w:style>
  <w:style w:type="paragraph" w:customStyle="1" w:styleId="Default">
    <w:name w:val="Default"/>
    <w:rsid w:val="00A07693"/>
    <w:pPr>
      <w:autoSpaceDE w:val="0"/>
      <w:autoSpaceDN w:val="0"/>
      <w:adjustRightInd w:val="0"/>
    </w:pPr>
    <w:rPr>
      <w:rFonts w:ascii="Palatino Linotype" w:hAnsi="Palatino Linotype" w:cs="Palatino Linotype"/>
      <w:color w:val="000000"/>
    </w:rPr>
  </w:style>
  <w:style w:type="character" w:customStyle="1" w:styleId="fm-role">
    <w:name w:val="fm-role"/>
    <w:basedOn w:val="DefaultParagraphFont"/>
    <w:rsid w:val="00802A84"/>
  </w:style>
  <w:style w:type="character" w:customStyle="1" w:styleId="UnresolvedMention2">
    <w:name w:val="Unresolved Mention2"/>
    <w:basedOn w:val="DefaultParagraphFont"/>
    <w:uiPriority w:val="99"/>
    <w:semiHidden/>
    <w:unhideWhenUsed/>
    <w:rsid w:val="008548EA"/>
    <w:rPr>
      <w:color w:val="605E5C"/>
      <w:shd w:val="clear" w:color="auto" w:fill="E1DFDD"/>
    </w:rPr>
  </w:style>
  <w:style w:type="character" w:styleId="Strong">
    <w:name w:val="Strong"/>
    <w:basedOn w:val="DefaultParagraphFont"/>
    <w:uiPriority w:val="22"/>
    <w:qFormat/>
    <w:rsid w:val="00560143"/>
    <w:rPr>
      <w:b/>
      <w:bCs/>
    </w:rPr>
  </w:style>
  <w:style w:type="character" w:styleId="UnresolvedMention">
    <w:name w:val="Unresolved Mention"/>
    <w:basedOn w:val="DefaultParagraphFont"/>
    <w:uiPriority w:val="99"/>
    <w:semiHidden/>
    <w:unhideWhenUsed/>
    <w:rsid w:val="005B42B1"/>
    <w:rPr>
      <w:color w:val="605E5C"/>
      <w:shd w:val="clear" w:color="auto" w:fill="E1DFDD"/>
    </w:rPr>
  </w:style>
  <w:style w:type="character" w:customStyle="1" w:styleId="key">
    <w:name w:val="key"/>
    <w:basedOn w:val="DefaultParagraphFont"/>
    <w:rsid w:val="00984646"/>
  </w:style>
  <w:style w:type="character" w:customStyle="1" w:styleId="number">
    <w:name w:val="number"/>
    <w:basedOn w:val="DefaultParagraphFont"/>
    <w:rsid w:val="00984646"/>
  </w:style>
  <w:style w:type="character" w:customStyle="1" w:styleId="string">
    <w:name w:val="string"/>
    <w:basedOn w:val="DefaultParagraphFont"/>
    <w:rsid w:val="00984646"/>
  </w:style>
  <w:style w:type="character" w:customStyle="1" w:styleId="boolean">
    <w:name w:val="boolean"/>
    <w:basedOn w:val="DefaultParagraphFont"/>
    <w:rsid w:val="00984646"/>
  </w:style>
  <w:style w:type="paragraph" w:customStyle="1" w:styleId="Header4">
    <w:name w:val="Header 4"/>
    <w:basedOn w:val="Normal"/>
    <w:link w:val="Header4Char"/>
    <w:qFormat/>
    <w:rsid w:val="00E2271F"/>
    <w:pPr>
      <w:spacing w:beforeLines="100" w:before="240" w:after="20"/>
    </w:pPr>
    <w:rPr>
      <w:rFonts w:ascii="Arial" w:hAnsi="Arial" w:cs="Arial"/>
      <w:b/>
      <w:u w:val="single"/>
    </w:rPr>
  </w:style>
  <w:style w:type="paragraph" w:customStyle="1" w:styleId="msonormal0">
    <w:name w:val="msonormal"/>
    <w:basedOn w:val="Normal"/>
    <w:rsid w:val="00E2271F"/>
    <w:pPr>
      <w:spacing w:before="100" w:beforeAutospacing="1" w:after="100" w:afterAutospacing="1"/>
    </w:pPr>
  </w:style>
  <w:style w:type="character" w:customStyle="1" w:styleId="Header4Char">
    <w:name w:val="Header 4 Char"/>
    <w:basedOn w:val="DefaultParagraphFont"/>
    <w:link w:val="Header4"/>
    <w:rsid w:val="00E2271F"/>
    <w:rPr>
      <w:rFonts w:ascii="Arial" w:eastAsia="Times New Roman" w:hAnsi="Arial" w:cs="Arial"/>
      <w:b/>
      <w:u w:val="single"/>
      <w:lang w:eastAsia="zh-CN"/>
    </w:rPr>
  </w:style>
  <w:style w:type="table" w:styleId="TableGrid">
    <w:name w:val="Table Grid"/>
    <w:basedOn w:val="TableNormal"/>
    <w:uiPriority w:val="39"/>
    <w:rsid w:val="004B20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301807"/>
    <w:rPr>
      <w:rFonts w:ascii="Calibri" w:hAnsi="Calibri" w:cs="Calibri" w:hint="default"/>
      <w:b w:val="0"/>
      <w:bCs w:val="0"/>
      <w:i w:val="0"/>
      <w:iCs w:val="0"/>
      <w:color w:val="3AA2E3"/>
      <w:sz w:val="34"/>
      <w:szCs w:val="3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9518">
      <w:bodyDiv w:val="1"/>
      <w:marLeft w:val="0"/>
      <w:marRight w:val="0"/>
      <w:marTop w:val="0"/>
      <w:marBottom w:val="0"/>
      <w:divBdr>
        <w:top w:val="none" w:sz="0" w:space="0" w:color="auto"/>
        <w:left w:val="none" w:sz="0" w:space="0" w:color="auto"/>
        <w:bottom w:val="none" w:sz="0" w:space="0" w:color="auto"/>
        <w:right w:val="none" w:sz="0" w:space="0" w:color="auto"/>
      </w:divBdr>
    </w:div>
    <w:div w:id="14352429">
      <w:bodyDiv w:val="1"/>
      <w:marLeft w:val="0"/>
      <w:marRight w:val="0"/>
      <w:marTop w:val="0"/>
      <w:marBottom w:val="0"/>
      <w:divBdr>
        <w:top w:val="none" w:sz="0" w:space="0" w:color="auto"/>
        <w:left w:val="none" w:sz="0" w:space="0" w:color="auto"/>
        <w:bottom w:val="none" w:sz="0" w:space="0" w:color="auto"/>
        <w:right w:val="none" w:sz="0" w:space="0" w:color="auto"/>
      </w:divBdr>
    </w:div>
    <w:div w:id="15616661">
      <w:bodyDiv w:val="1"/>
      <w:marLeft w:val="0"/>
      <w:marRight w:val="0"/>
      <w:marTop w:val="0"/>
      <w:marBottom w:val="0"/>
      <w:divBdr>
        <w:top w:val="none" w:sz="0" w:space="0" w:color="auto"/>
        <w:left w:val="none" w:sz="0" w:space="0" w:color="auto"/>
        <w:bottom w:val="none" w:sz="0" w:space="0" w:color="auto"/>
        <w:right w:val="none" w:sz="0" w:space="0" w:color="auto"/>
      </w:divBdr>
    </w:div>
    <w:div w:id="17315532">
      <w:bodyDiv w:val="1"/>
      <w:marLeft w:val="0"/>
      <w:marRight w:val="0"/>
      <w:marTop w:val="0"/>
      <w:marBottom w:val="0"/>
      <w:divBdr>
        <w:top w:val="none" w:sz="0" w:space="0" w:color="auto"/>
        <w:left w:val="none" w:sz="0" w:space="0" w:color="auto"/>
        <w:bottom w:val="none" w:sz="0" w:space="0" w:color="auto"/>
        <w:right w:val="none" w:sz="0" w:space="0" w:color="auto"/>
      </w:divBdr>
    </w:div>
    <w:div w:id="20400714">
      <w:bodyDiv w:val="1"/>
      <w:marLeft w:val="0"/>
      <w:marRight w:val="0"/>
      <w:marTop w:val="0"/>
      <w:marBottom w:val="0"/>
      <w:divBdr>
        <w:top w:val="none" w:sz="0" w:space="0" w:color="auto"/>
        <w:left w:val="none" w:sz="0" w:space="0" w:color="auto"/>
        <w:bottom w:val="none" w:sz="0" w:space="0" w:color="auto"/>
        <w:right w:val="none" w:sz="0" w:space="0" w:color="auto"/>
      </w:divBdr>
    </w:div>
    <w:div w:id="27144715">
      <w:bodyDiv w:val="1"/>
      <w:marLeft w:val="0"/>
      <w:marRight w:val="0"/>
      <w:marTop w:val="0"/>
      <w:marBottom w:val="0"/>
      <w:divBdr>
        <w:top w:val="none" w:sz="0" w:space="0" w:color="auto"/>
        <w:left w:val="none" w:sz="0" w:space="0" w:color="auto"/>
        <w:bottom w:val="none" w:sz="0" w:space="0" w:color="auto"/>
        <w:right w:val="none" w:sz="0" w:space="0" w:color="auto"/>
      </w:divBdr>
    </w:div>
    <w:div w:id="27731113">
      <w:bodyDiv w:val="1"/>
      <w:marLeft w:val="0"/>
      <w:marRight w:val="0"/>
      <w:marTop w:val="0"/>
      <w:marBottom w:val="0"/>
      <w:divBdr>
        <w:top w:val="none" w:sz="0" w:space="0" w:color="auto"/>
        <w:left w:val="none" w:sz="0" w:space="0" w:color="auto"/>
        <w:bottom w:val="none" w:sz="0" w:space="0" w:color="auto"/>
        <w:right w:val="none" w:sz="0" w:space="0" w:color="auto"/>
      </w:divBdr>
    </w:div>
    <w:div w:id="34086467">
      <w:bodyDiv w:val="1"/>
      <w:marLeft w:val="0"/>
      <w:marRight w:val="0"/>
      <w:marTop w:val="0"/>
      <w:marBottom w:val="0"/>
      <w:divBdr>
        <w:top w:val="none" w:sz="0" w:space="0" w:color="auto"/>
        <w:left w:val="none" w:sz="0" w:space="0" w:color="auto"/>
        <w:bottom w:val="none" w:sz="0" w:space="0" w:color="auto"/>
        <w:right w:val="none" w:sz="0" w:space="0" w:color="auto"/>
      </w:divBdr>
    </w:div>
    <w:div w:id="44529728">
      <w:bodyDiv w:val="1"/>
      <w:marLeft w:val="0"/>
      <w:marRight w:val="0"/>
      <w:marTop w:val="0"/>
      <w:marBottom w:val="0"/>
      <w:divBdr>
        <w:top w:val="none" w:sz="0" w:space="0" w:color="auto"/>
        <w:left w:val="none" w:sz="0" w:space="0" w:color="auto"/>
        <w:bottom w:val="none" w:sz="0" w:space="0" w:color="auto"/>
        <w:right w:val="none" w:sz="0" w:space="0" w:color="auto"/>
      </w:divBdr>
    </w:div>
    <w:div w:id="61802117">
      <w:bodyDiv w:val="1"/>
      <w:marLeft w:val="0"/>
      <w:marRight w:val="0"/>
      <w:marTop w:val="0"/>
      <w:marBottom w:val="0"/>
      <w:divBdr>
        <w:top w:val="none" w:sz="0" w:space="0" w:color="auto"/>
        <w:left w:val="none" w:sz="0" w:space="0" w:color="auto"/>
        <w:bottom w:val="none" w:sz="0" w:space="0" w:color="auto"/>
        <w:right w:val="none" w:sz="0" w:space="0" w:color="auto"/>
      </w:divBdr>
    </w:div>
    <w:div w:id="69426087">
      <w:bodyDiv w:val="1"/>
      <w:marLeft w:val="0"/>
      <w:marRight w:val="0"/>
      <w:marTop w:val="0"/>
      <w:marBottom w:val="0"/>
      <w:divBdr>
        <w:top w:val="none" w:sz="0" w:space="0" w:color="auto"/>
        <w:left w:val="none" w:sz="0" w:space="0" w:color="auto"/>
        <w:bottom w:val="none" w:sz="0" w:space="0" w:color="auto"/>
        <w:right w:val="none" w:sz="0" w:space="0" w:color="auto"/>
      </w:divBdr>
    </w:div>
    <w:div w:id="73867578">
      <w:bodyDiv w:val="1"/>
      <w:marLeft w:val="0"/>
      <w:marRight w:val="0"/>
      <w:marTop w:val="0"/>
      <w:marBottom w:val="0"/>
      <w:divBdr>
        <w:top w:val="none" w:sz="0" w:space="0" w:color="auto"/>
        <w:left w:val="none" w:sz="0" w:space="0" w:color="auto"/>
        <w:bottom w:val="none" w:sz="0" w:space="0" w:color="auto"/>
        <w:right w:val="none" w:sz="0" w:space="0" w:color="auto"/>
      </w:divBdr>
    </w:div>
    <w:div w:id="81026206">
      <w:bodyDiv w:val="1"/>
      <w:marLeft w:val="0"/>
      <w:marRight w:val="0"/>
      <w:marTop w:val="0"/>
      <w:marBottom w:val="0"/>
      <w:divBdr>
        <w:top w:val="none" w:sz="0" w:space="0" w:color="auto"/>
        <w:left w:val="none" w:sz="0" w:space="0" w:color="auto"/>
        <w:bottom w:val="none" w:sz="0" w:space="0" w:color="auto"/>
        <w:right w:val="none" w:sz="0" w:space="0" w:color="auto"/>
      </w:divBdr>
    </w:div>
    <w:div w:id="90514176">
      <w:bodyDiv w:val="1"/>
      <w:marLeft w:val="0"/>
      <w:marRight w:val="0"/>
      <w:marTop w:val="0"/>
      <w:marBottom w:val="0"/>
      <w:divBdr>
        <w:top w:val="none" w:sz="0" w:space="0" w:color="auto"/>
        <w:left w:val="none" w:sz="0" w:space="0" w:color="auto"/>
        <w:bottom w:val="none" w:sz="0" w:space="0" w:color="auto"/>
        <w:right w:val="none" w:sz="0" w:space="0" w:color="auto"/>
      </w:divBdr>
    </w:div>
    <w:div w:id="120150615">
      <w:bodyDiv w:val="1"/>
      <w:marLeft w:val="0"/>
      <w:marRight w:val="0"/>
      <w:marTop w:val="0"/>
      <w:marBottom w:val="0"/>
      <w:divBdr>
        <w:top w:val="none" w:sz="0" w:space="0" w:color="auto"/>
        <w:left w:val="none" w:sz="0" w:space="0" w:color="auto"/>
        <w:bottom w:val="none" w:sz="0" w:space="0" w:color="auto"/>
        <w:right w:val="none" w:sz="0" w:space="0" w:color="auto"/>
      </w:divBdr>
    </w:div>
    <w:div w:id="129786591">
      <w:bodyDiv w:val="1"/>
      <w:marLeft w:val="0"/>
      <w:marRight w:val="0"/>
      <w:marTop w:val="0"/>
      <w:marBottom w:val="0"/>
      <w:divBdr>
        <w:top w:val="none" w:sz="0" w:space="0" w:color="auto"/>
        <w:left w:val="none" w:sz="0" w:space="0" w:color="auto"/>
        <w:bottom w:val="none" w:sz="0" w:space="0" w:color="auto"/>
        <w:right w:val="none" w:sz="0" w:space="0" w:color="auto"/>
      </w:divBdr>
      <w:divsChild>
        <w:div w:id="1701975949">
          <w:marLeft w:val="0"/>
          <w:marRight w:val="0"/>
          <w:marTop w:val="0"/>
          <w:marBottom w:val="0"/>
          <w:divBdr>
            <w:top w:val="none" w:sz="0" w:space="0" w:color="auto"/>
            <w:left w:val="none" w:sz="0" w:space="0" w:color="auto"/>
            <w:bottom w:val="none" w:sz="0" w:space="0" w:color="auto"/>
            <w:right w:val="none" w:sz="0" w:space="0" w:color="auto"/>
          </w:divBdr>
          <w:divsChild>
            <w:div w:id="845049252">
              <w:marLeft w:val="0"/>
              <w:marRight w:val="0"/>
              <w:marTop w:val="0"/>
              <w:marBottom w:val="0"/>
              <w:divBdr>
                <w:top w:val="none" w:sz="0" w:space="0" w:color="auto"/>
                <w:left w:val="none" w:sz="0" w:space="0" w:color="auto"/>
                <w:bottom w:val="none" w:sz="0" w:space="0" w:color="auto"/>
                <w:right w:val="none" w:sz="0" w:space="0" w:color="auto"/>
              </w:divBdr>
              <w:divsChild>
                <w:div w:id="115026798">
                  <w:marLeft w:val="0"/>
                  <w:marRight w:val="0"/>
                  <w:marTop w:val="0"/>
                  <w:marBottom w:val="0"/>
                  <w:divBdr>
                    <w:top w:val="none" w:sz="0" w:space="0" w:color="auto"/>
                    <w:left w:val="none" w:sz="0" w:space="0" w:color="auto"/>
                    <w:bottom w:val="none" w:sz="0" w:space="0" w:color="auto"/>
                    <w:right w:val="none" w:sz="0" w:space="0" w:color="auto"/>
                  </w:divBdr>
                  <w:divsChild>
                    <w:div w:id="1344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98288">
      <w:bodyDiv w:val="1"/>
      <w:marLeft w:val="0"/>
      <w:marRight w:val="0"/>
      <w:marTop w:val="0"/>
      <w:marBottom w:val="0"/>
      <w:divBdr>
        <w:top w:val="none" w:sz="0" w:space="0" w:color="auto"/>
        <w:left w:val="none" w:sz="0" w:space="0" w:color="auto"/>
        <w:bottom w:val="none" w:sz="0" w:space="0" w:color="auto"/>
        <w:right w:val="none" w:sz="0" w:space="0" w:color="auto"/>
      </w:divBdr>
    </w:div>
    <w:div w:id="133917432">
      <w:bodyDiv w:val="1"/>
      <w:marLeft w:val="0"/>
      <w:marRight w:val="0"/>
      <w:marTop w:val="0"/>
      <w:marBottom w:val="0"/>
      <w:divBdr>
        <w:top w:val="none" w:sz="0" w:space="0" w:color="auto"/>
        <w:left w:val="none" w:sz="0" w:space="0" w:color="auto"/>
        <w:bottom w:val="none" w:sz="0" w:space="0" w:color="auto"/>
        <w:right w:val="none" w:sz="0" w:space="0" w:color="auto"/>
      </w:divBdr>
    </w:div>
    <w:div w:id="140729524">
      <w:bodyDiv w:val="1"/>
      <w:marLeft w:val="0"/>
      <w:marRight w:val="0"/>
      <w:marTop w:val="0"/>
      <w:marBottom w:val="0"/>
      <w:divBdr>
        <w:top w:val="none" w:sz="0" w:space="0" w:color="auto"/>
        <w:left w:val="none" w:sz="0" w:space="0" w:color="auto"/>
        <w:bottom w:val="none" w:sz="0" w:space="0" w:color="auto"/>
        <w:right w:val="none" w:sz="0" w:space="0" w:color="auto"/>
      </w:divBdr>
    </w:div>
    <w:div w:id="144788083">
      <w:bodyDiv w:val="1"/>
      <w:marLeft w:val="0"/>
      <w:marRight w:val="0"/>
      <w:marTop w:val="0"/>
      <w:marBottom w:val="0"/>
      <w:divBdr>
        <w:top w:val="none" w:sz="0" w:space="0" w:color="auto"/>
        <w:left w:val="none" w:sz="0" w:space="0" w:color="auto"/>
        <w:bottom w:val="none" w:sz="0" w:space="0" w:color="auto"/>
        <w:right w:val="none" w:sz="0" w:space="0" w:color="auto"/>
      </w:divBdr>
    </w:div>
    <w:div w:id="155922880">
      <w:bodyDiv w:val="1"/>
      <w:marLeft w:val="0"/>
      <w:marRight w:val="0"/>
      <w:marTop w:val="0"/>
      <w:marBottom w:val="0"/>
      <w:divBdr>
        <w:top w:val="none" w:sz="0" w:space="0" w:color="auto"/>
        <w:left w:val="none" w:sz="0" w:space="0" w:color="auto"/>
        <w:bottom w:val="none" w:sz="0" w:space="0" w:color="auto"/>
        <w:right w:val="none" w:sz="0" w:space="0" w:color="auto"/>
      </w:divBdr>
    </w:div>
    <w:div w:id="156265098">
      <w:bodyDiv w:val="1"/>
      <w:marLeft w:val="0"/>
      <w:marRight w:val="0"/>
      <w:marTop w:val="0"/>
      <w:marBottom w:val="0"/>
      <w:divBdr>
        <w:top w:val="none" w:sz="0" w:space="0" w:color="auto"/>
        <w:left w:val="none" w:sz="0" w:space="0" w:color="auto"/>
        <w:bottom w:val="none" w:sz="0" w:space="0" w:color="auto"/>
        <w:right w:val="none" w:sz="0" w:space="0" w:color="auto"/>
      </w:divBdr>
    </w:div>
    <w:div w:id="159929634">
      <w:bodyDiv w:val="1"/>
      <w:marLeft w:val="0"/>
      <w:marRight w:val="0"/>
      <w:marTop w:val="0"/>
      <w:marBottom w:val="0"/>
      <w:divBdr>
        <w:top w:val="none" w:sz="0" w:space="0" w:color="auto"/>
        <w:left w:val="none" w:sz="0" w:space="0" w:color="auto"/>
        <w:bottom w:val="none" w:sz="0" w:space="0" w:color="auto"/>
        <w:right w:val="none" w:sz="0" w:space="0" w:color="auto"/>
      </w:divBdr>
    </w:div>
    <w:div w:id="183834813">
      <w:bodyDiv w:val="1"/>
      <w:marLeft w:val="0"/>
      <w:marRight w:val="0"/>
      <w:marTop w:val="0"/>
      <w:marBottom w:val="0"/>
      <w:divBdr>
        <w:top w:val="none" w:sz="0" w:space="0" w:color="auto"/>
        <w:left w:val="none" w:sz="0" w:space="0" w:color="auto"/>
        <w:bottom w:val="none" w:sz="0" w:space="0" w:color="auto"/>
        <w:right w:val="none" w:sz="0" w:space="0" w:color="auto"/>
      </w:divBdr>
    </w:div>
    <w:div w:id="184248114">
      <w:bodyDiv w:val="1"/>
      <w:marLeft w:val="0"/>
      <w:marRight w:val="0"/>
      <w:marTop w:val="0"/>
      <w:marBottom w:val="0"/>
      <w:divBdr>
        <w:top w:val="none" w:sz="0" w:space="0" w:color="auto"/>
        <w:left w:val="none" w:sz="0" w:space="0" w:color="auto"/>
        <w:bottom w:val="none" w:sz="0" w:space="0" w:color="auto"/>
        <w:right w:val="none" w:sz="0" w:space="0" w:color="auto"/>
      </w:divBdr>
    </w:div>
    <w:div w:id="236063961">
      <w:bodyDiv w:val="1"/>
      <w:marLeft w:val="0"/>
      <w:marRight w:val="0"/>
      <w:marTop w:val="0"/>
      <w:marBottom w:val="0"/>
      <w:divBdr>
        <w:top w:val="none" w:sz="0" w:space="0" w:color="auto"/>
        <w:left w:val="none" w:sz="0" w:space="0" w:color="auto"/>
        <w:bottom w:val="none" w:sz="0" w:space="0" w:color="auto"/>
        <w:right w:val="none" w:sz="0" w:space="0" w:color="auto"/>
      </w:divBdr>
    </w:div>
    <w:div w:id="247661198">
      <w:bodyDiv w:val="1"/>
      <w:marLeft w:val="0"/>
      <w:marRight w:val="0"/>
      <w:marTop w:val="0"/>
      <w:marBottom w:val="0"/>
      <w:divBdr>
        <w:top w:val="none" w:sz="0" w:space="0" w:color="auto"/>
        <w:left w:val="none" w:sz="0" w:space="0" w:color="auto"/>
        <w:bottom w:val="none" w:sz="0" w:space="0" w:color="auto"/>
        <w:right w:val="none" w:sz="0" w:space="0" w:color="auto"/>
      </w:divBdr>
    </w:div>
    <w:div w:id="248119814">
      <w:bodyDiv w:val="1"/>
      <w:marLeft w:val="0"/>
      <w:marRight w:val="0"/>
      <w:marTop w:val="0"/>
      <w:marBottom w:val="0"/>
      <w:divBdr>
        <w:top w:val="none" w:sz="0" w:space="0" w:color="auto"/>
        <w:left w:val="none" w:sz="0" w:space="0" w:color="auto"/>
        <w:bottom w:val="none" w:sz="0" w:space="0" w:color="auto"/>
        <w:right w:val="none" w:sz="0" w:space="0" w:color="auto"/>
      </w:divBdr>
    </w:div>
    <w:div w:id="251359300">
      <w:bodyDiv w:val="1"/>
      <w:marLeft w:val="0"/>
      <w:marRight w:val="0"/>
      <w:marTop w:val="0"/>
      <w:marBottom w:val="0"/>
      <w:divBdr>
        <w:top w:val="none" w:sz="0" w:space="0" w:color="auto"/>
        <w:left w:val="none" w:sz="0" w:space="0" w:color="auto"/>
        <w:bottom w:val="none" w:sz="0" w:space="0" w:color="auto"/>
        <w:right w:val="none" w:sz="0" w:space="0" w:color="auto"/>
      </w:divBdr>
    </w:div>
    <w:div w:id="286474224">
      <w:bodyDiv w:val="1"/>
      <w:marLeft w:val="0"/>
      <w:marRight w:val="0"/>
      <w:marTop w:val="0"/>
      <w:marBottom w:val="0"/>
      <w:divBdr>
        <w:top w:val="none" w:sz="0" w:space="0" w:color="auto"/>
        <w:left w:val="none" w:sz="0" w:space="0" w:color="auto"/>
        <w:bottom w:val="none" w:sz="0" w:space="0" w:color="auto"/>
        <w:right w:val="none" w:sz="0" w:space="0" w:color="auto"/>
      </w:divBdr>
    </w:div>
    <w:div w:id="352536468">
      <w:bodyDiv w:val="1"/>
      <w:marLeft w:val="0"/>
      <w:marRight w:val="0"/>
      <w:marTop w:val="0"/>
      <w:marBottom w:val="0"/>
      <w:divBdr>
        <w:top w:val="none" w:sz="0" w:space="0" w:color="auto"/>
        <w:left w:val="none" w:sz="0" w:space="0" w:color="auto"/>
        <w:bottom w:val="none" w:sz="0" w:space="0" w:color="auto"/>
        <w:right w:val="none" w:sz="0" w:space="0" w:color="auto"/>
      </w:divBdr>
    </w:div>
    <w:div w:id="372585618">
      <w:bodyDiv w:val="1"/>
      <w:marLeft w:val="0"/>
      <w:marRight w:val="0"/>
      <w:marTop w:val="0"/>
      <w:marBottom w:val="0"/>
      <w:divBdr>
        <w:top w:val="none" w:sz="0" w:space="0" w:color="auto"/>
        <w:left w:val="none" w:sz="0" w:space="0" w:color="auto"/>
        <w:bottom w:val="none" w:sz="0" w:space="0" w:color="auto"/>
        <w:right w:val="none" w:sz="0" w:space="0" w:color="auto"/>
      </w:divBdr>
    </w:div>
    <w:div w:id="396168365">
      <w:bodyDiv w:val="1"/>
      <w:marLeft w:val="0"/>
      <w:marRight w:val="0"/>
      <w:marTop w:val="0"/>
      <w:marBottom w:val="0"/>
      <w:divBdr>
        <w:top w:val="none" w:sz="0" w:space="0" w:color="auto"/>
        <w:left w:val="none" w:sz="0" w:space="0" w:color="auto"/>
        <w:bottom w:val="none" w:sz="0" w:space="0" w:color="auto"/>
        <w:right w:val="none" w:sz="0" w:space="0" w:color="auto"/>
      </w:divBdr>
    </w:div>
    <w:div w:id="396368077">
      <w:bodyDiv w:val="1"/>
      <w:marLeft w:val="0"/>
      <w:marRight w:val="0"/>
      <w:marTop w:val="0"/>
      <w:marBottom w:val="0"/>
      <w:divBdr>
        <w:top w:val="none" w:sz="0" w:space="0" w:color="auto"/>
        <w:left w:val="none" w:sz="0" w:space="0" w:color="auto"/>
        <w:bottom w:val="none" w:sz="0" w:space="0" w:color="auto"/>
        <w:right w:val="none" w:sz="0" w:space="0" w:color="auto"/>
      </w:divBdr>
    </w:div>
    <w:div w:id="408621910">
      <w:bodyDiv w:val="1"/>
      <w:marLeft w:val="0"/>
      <w:marRight w:val="0"/>
      <w:marTop w:val="0"/>
      <w:marBottom w:val="0"/>
      <w:divBdr>
        <w:top w:val="none" w:sz="0" w:space="0" w:color="auto"/>
        <w:left w:val="none" w:sz="0" w:space="0" w:color="auto"/>
        <w:bottom w:val="none" w:sz="0" w:space="0" w:color="auto"/>
        <w:right w:val="none" w:sz="0" w:space="0" w:color="auto"/>
      </w:divBdr>
      <w:divsChild>
        <w:div w:id="1179195197">
          <w:marLeft w:val="-240"/>
          <w:marRight w:val="-240"/>
          <w:marTop w:val="0"/>
          <w:marBottom w:val="0"/>
          <w:divBdr>
            <w:top w:val="none" w:sz="0" w:space="0" w:color="auto"/>
            <w:left w:val="none" w:sz="0" w:space="0" w:color="auto"/>
            <w:bottom w:val="none" w:sz="0" w:space="0" w:color="auto"/>
            <w:right w:val="none" w:sz="0" w:space="0" w:color="auto"/>
          </w:divBdr>
          <w:divsChild>
            <w:div w:id="1548373273">
              <w:marLeft w:val="0"/>
              <w:marRight w:val="0"/>
              <w:marTop w:val="0"/>
              <w:marBottom w:val="0"/>
              <w:divBdr>
                <w:top w:val="none" w:sz="0" w:space="0" w:color="auto"/>
                <w:left w:val="none" w:sz="0" w:space="0" w:color="auto"/>
                <w:bottom w:val="none" w:sz="0" w:space="0" w:color="auto"/>
                <w:right w:val="none" w:sz="0" w:space="0" w:color="auto"/>
              </w:divBdr>
              <w:divsChild>
                <w:div w:id="102166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385857">
      <w:bodyDiv w:val="1"/>
      <w:marLeft w:val="0"/>
      <w:marRight w:val="0"/>
      <w:marTop w:val="0"/>
      <w:marBottom w:val="0"/>
      <w:divBdr>
        <w:top w:val="none" w:sz="0" w:space="0" w:color="auto"/>
        <w:left w:val="none" w:sz="0" w:space="0" w:color="auto"/>
        <w:bottom w:val="none" w:sz="0" w:space="0" w:color="auto"/>
        <w:right w:val="none" w:sz="0" w:space="0" w:color="auto"/>
      </w:divBdr>
    </w:div>
    <w:div w:id="444085995">
      <w:bodyDiv w:val="1"/>
      <w:marLeft w:val="0"/>
      <w:marRight w:val="0"/>
      <w:marTop w:val="0"/>
      <w:marBottom w:val="0"/>
      <w:divBdr>
        <w:top w:val="none" w:sz="0" w:space="0" w:color="auto"/>
        <w:left w:val="none" w:sz="0" w:space="0" w:color="auto"/>
        <w:bottom w:val="none" w:sz="0" w:space="0" w:color="auto"/>
        <w:right w:val="none" w:sz="0" w:space="0" w:color="auto"/>
      </w:divBdr>
    </w:div>
    <w:div w:id="452409875">
      <w:bodyDiv w:val="1"/>
      <w:marLeft w:val="0"/>
      <w:marRight w:val="0"/>
      <w:marTop w:val="0"/>
      <w:marBottom w:val="0"/>
      <w:divBdr>
        <w:top w:val="none" w:sz="0" w:space="0" w:color="auto"/>
        <w:left w:val="none" w:sz="0" w:space="0" w:color="auto"/>
        <w:bottom w:val="none" w:sz="0" w:space="0" w:color="auto"/>
        <w:right w:val="none" w:sz="0" w:space="0" w:color="auto"/>
      </w:divBdr>
    </w:div>
    <w:div w:id="505555418">
      <w:bodyDiv w:val="1"/>
      <w:marLeft w:val="0"/>
      <w:marRight w:val="0"/>
      <w:marTop w:val="0"/>
      <w:marBottom w:val="0"/>
      <w:divBdr>
        <w:top w:val="none" w:sz="0" w:space="0" w:color="auto"/>
        <w:left w:val="none" w:sz="0" w:space="0" w:color="auto"/>
        <w:bottom w:val="none" w:sz="0" w:space="0" w:color="auto"/>
        <w:right w:val="none" w:sz="0" w:space="0" w:color="auto"/>
      </w:divBdr>
    </w:div>
    <w:div w:id="511143367">
      <w:bodyDiv w:val="1"/>
      <w:marLeft w:val="0"/>
      <w:marRight w:val="0"/>
      <w:marTop w:val="0"/>
      <w:marBottom w:val="0"/>
      <w:divBdr>
        <w:top w:val="none" w:sz="0" w:space="0" w:color="auto"/>
        <w:left w:val="none" w:sz="0" w:space="0" w:color="auto"/>
        <w:bottom w:val="none" w:sz="0" w:space="0" w:color="auto"/>
        <w:right w:val="none" w:sz="0" w:space="0" w:color="auto"/>
      </w:divBdr>
    </w:div>
    <w:div w:id="545069129">
      <w:bodyDiv w:val="1"/>
      <w:marLeft w:val="0"/>
      <w:marRight w:val="0"/>
      <w:marTop w:val="0"/>
      <w:marBottom w:val="0"/>
      <w:divBdr>
        <w:top w:val="none" w:sz="0" w:space="0" w:color="auto"/>
        <w:left w:val="none" w:sz="0" w:space="0" w:color="auto"/>
        <w:bottom w:val="none" w:sz="0" w:space="0" w:color="auto"/>
        <w:right w:val="none" w:sz="0" w:space="0" w:color="auto"/>
      </w:divBdr>
    </w:div>
    <w:div w:id="568883680">
      <w:bodyDiv w:val="1"/>
      <w:marLeft w:val="0"/>
      <w:marRight w:val="0"/>
      <w:marTop w:val="0"/>
      <w:marBottom w:val="0"/>
      <w:divBdr>
        <w:top w:val="none" w:sz="0" w:space="0" w:color="auto"/>
        <w:left w:val="none" w:sz="0" w:space="0" w:color="auto"/>
        <w:bottom w:val="none" w:sz="0" w:space="0" w:color="auto"/>
        <w:right w:val="none" w:sz="0" w:space="0" w:color="auto"/>
      </w:divBdr>
      <w:divsChild>
        <w:div w:id="1984892393">
          <w:marLeft w:val="0"/>
          <w:marRight w:val="0"/>
          <w:marTop w:val="0"/>
          <w:marBottom w:val="0"/>
          <w:divBdr>
            <w:top w:val="none" w:sz="0" w:space="0" w:color="auto"/>
            <w:left w:val="none" w:sz="0" w:space="0" w:color="auto"/>
            <w:bottom w:val="none" w:sz="0" w:space="0" w:color="auto"/>
            <w:right w:val="none" w:sz="0" w:space="0" w:color="auto"/>
          </w:divBdr>
          <w:divsChild>
            <w:div w:id="1951475140">
              <w:marLeft w:val="0"/>
              <w:marRight w:val="0"/>
              <w:marTop w:val="0"/>
              <w:marBottom w:val="0"/>
              <w:divBdr>
                <w:top w:val="none" w:sz="0" w:space="0" w:color="auto"/>
                <w:left w:val="none" w:sz="0" w:space="0" w:color="auto"/>
                <w:bottom w:val="none" w:sz="0" w:space="0" w:color="auto"/>
                <w:right w:val="none" w:sz="0" w:space="0" w:color="auto"/>
              </w:divBdr>
              <w:divsChild>
                <w:div w:id="813834375">
                  <w:marLeft w:val="0"/>
                  <w:marRight w:val="0"/>
                  <w:marTop w:val="0"/>
                  <w:marBottom w:val="0"/>
                  <w:divBdr>
                    <w:top w:val="none" w:sz="0" w:space="0" w:color="auto"/>
                    <w:left w:val="none" w:sz="0" w:space="0" w:color="auto"/>
                    <w:bottom w:val="none" w:sz="0" w:space="0" w:color="auto"/>
                    <w:right w:val="none" w:sz="0" w:space="0" w:color="auto"/>
                  </w:divBdr>
                  <w:divsChild>
                    <w:div w:id="29506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779586">
      <w:bodyDiv w:val="1"/>
      <w:marLeft w:val="0"/>
      <w:marRight w:val="0"/>
      <w:marTop w:val="0"/>
      <w:marBottom w:val="0"/>
      <w:divBdr>
        <w:top w:val="none" w:sz="0" w:space="0" w:color="auto"/>
        <w:left w:val="none" w:sz="0" w:space="0" w:color="auto"/>
        <w:bottom w:val="none" w:sz="0" w:space="0" w:color="auto"/>
        <w:right w:val="none" w:sz="0" w:space="0" w:color="auto"/>
      </w:divBdr>
    </w:div>
    <w:div w:id="578562951">
      <w:bodyDiv w:val="1"/>
      <w:marLeft w:val="0"/>
      <w:marRight w:val="0"/>
      <w:marTop w:val="0"/>
      <w:marBottom w:val="0"/>
      <w:divBdr>
        <w:top w:val="none" w:sz="0" w:space="0" w:color="auto"/>
        <w:left w:val="none" w:sz="0" w:space="0" w:color="auto"/>
        <w:bottom w:val="none" w:sz="0" w:space="0" w:color="auto"/>
        <w:right w:val="none" w:sz="0" w:space="0" w:color="auto"/>
      </w:divBdr>
    </w:div>
    <w:div w:id="588586551">
      <w:bodyDiv w:val="1"/>
      <w:marLeft w:val="0"/>
      <w:marRight w:val="0"/>
      <w:marTop w:val="0"/>
      <w:marBottom w:val="0"/>
      <w:divBdr>
        <w:top w:val="none" w:sz="0" w:space="0" w:color="auto"/>
        <w:left w:val="none" w:sz="0" w:space="0" w:color="auto"/>
        <w:bottom w:val="none" w:sz="0" w:space="0" w:color="auto"/>
        <w:right w:val="none" w:sz="0" w:space="0" w:color="auto"/>
      </w:divBdr>
    </w:div>
    <w:div w:id="598416742">
      <w:bodyDiv w:val="1"/>
      <w:marLeft w:val="0"/>
      <w:marRight w:val="0"/>
      <w:marTop w:val="0"/>
      <w:marBottom w:val="0"/>
      <w:divBdr>
        <w:top w:val="none" w:sz="0" w:space="0" w:color="auto"/>
        <w:left w:val="none" w:sz="0" w:space="0" w:color="auto"/>
        <w:bottom w:val="none" w:sz="0" w:space="0" w:color="auto"/>
        <w:right w:val="none" w:sz="0" w:space="0" w:color="auto"/>
      </w:divBdr>
    </w:div>
    <w:div w:id="627661905">
      <w:bodyDiv w:val="1"/>
      <w:marLeft w:val="0"/>
      <w:marRight w:val="0"/>
      <w:marTop w:val="0"/>
      <w:marBottom w:val="0"/>
      <w:divBdr>
        <w:top w:val="none" w:sz="0" w:space="0" w:color="auto"/>
        <w:left w:val="none" w:sz="0" w:space="0" w:color="auto"/>
        <w:bottom w:val="none" w:sz="0" w:space="0" w:color="auto"/>
        <w:right w:val="none" w:sz="0" w:space="0" w:color="auto"/>
      </w:divBdr>
    </w:div>
    <w:div w:id="636103163">
      <w:bodyDiv w:val="1"/>
      <w:marLeft w:val="0"/>
      <w:marRight w:val="0"/>
      <w:marTop w:val="0"/>
      <w:marBottom w:val="0"/>
      <w:divBdr>
        <w:top w:val="none" w:sz="0" w:space="0" w:color="auto"/>
        <w:left w:val="none" w:sz="0" w:space="0" w:color="auto"/>
        <w:bottom w:val="none" w:sz="0" w:space="0" w:color="auto"/>
        <w:right w:val="none" w:sz="0" w:space="0" w:color="auto"/>
      </w:divBdr>
    </w:div>
    <w:div w:id="646906052">
      <w:bodyDiv w:val="1"/>
      <w:marLeft w:val="0"/>
      <w:marRight w:val="0"/>
      <w:marTop w:val="0"/>
      <w:marBottom w:val="0"/>
      <w:divBdr>
        <w:top w:val="none" w:sz="0" w:space="0" w:color="auto"/>
        <w:left w:val="none" w:sz="0" w:space="0" w:color="auto"/>
        <w:bottom w:val="none" w:sz="0" w:space="0" w:color="auto"/>
        <w:right w:val="none" w:sz="0" w:space="0" w:color="auto"/>
      </w:divBdr>
    </w:div>
    <w:div w:id="651103110">
      <w:bodyDiv w:val="1"/>
      <w:marLeft w:val="0"/>
      <w:marRight w:val="0"/>
      <w:marTop w:val="0"/>
      <w:marBottom w:val="0"/>
      <w:divBdr>
        <w:top w:val="none" w:sz="0" w:space="0" w:color="auto"/>
        <w:left w:val="none" w:sz="0" w:space="0" w:color="auto"/>
        <w:bottom w:val="none" w:sz="0" w:space="0" w:color="auto"/>
        <w:right w:val="none" w:sz="0" w:space="0" w:color="auto"/>
      </w:divBdr>
    </w:div>
    <w:div w:id="687098408">
      <w:bodyDiv w:val="1"/>
      <w:marLeft w:val="0"/>
      <w:marRight w:val="0"/>
      <w:marTop w:val="0"/>
      <w:marBottom w:val="0"/>
      <w:divBdr>
        <w:top w:val="none" w:sz="0" w:space="0" w:color="auto"/>
        <w:left w:val="none" w:sz="0" w:space="0" w:color="auto"/>
        <w:bottom w:val="none" w:sz="0" w:space="0" w:color="auto"/>
        <w:right w:val="none" w:sz="0" w:space="0" w:color="auto"/>
      </w:divBdr>
    </w:div>
    <w:div w:id="690184249">
      <w:bodyDiv w:val="1"/>
      <w:marLeft w:val="0"/>
      <w:marRight w:val="0"/>
      <w:marTop w:val="0"/>
      <w:marBottom w:val="0"/>
      <w:divBdr>
        <w:top w:val="none" w:sz="0" w:space="0" w:color="auto"/>
        <w:left w:val="none" w:sz="0" w:space="0" w:color="auto"/>
        <w:bottom w:val="none" w:sz="0" w:space="0" w:color="auto"/>
        <w:right w:val="none" w:sz="0" w:space="0" w:color="auto"/>
      </w:divBdr>
    </w:div>
    <w:div w:id="710770021">
      <w:bodyDiv w:val="1"/>
      <w:marLeft w:val="0"/>
      <w:marRight w:val="0"/>
      <w:marTop w:val="0"/>
      <w:marBottom w:val="0"/>
      <w:divBdr>
        <w:top w:val="none" w:sz="0" w:space="0" w:color="auto"/>
        <w:left w:val="none" w:sz="0" w:space="0" w:color="auto"/>
        <w:bottom w:val="none" w:sz="0" w:space="0" w:color="auto"/>
        <w:right w:val="none" w:sz="0" w:space="0" w:color="auto"/>
      </w:divBdr>
    </w:div>
    <w:div w:id="717437420">
      <w:bodyDiv w:val="1"/>
      <w:marLeft w:val="0"/>
      <w:marRight w:val="0"/>
      <w:marTop w:val="0"/>
      <w:marBottom w:val="0"/>
      <w:divBdr>
        <w:top w:val="none" w:sz="0" w:space="0" w:color="auto"/>
        <w:left w:val="none" w:sz="0" w:space="0" w:color="auto"/>
        <w:bottom w:val="none" w:sz="0" w:space="0" w:color="auto"/>
        <w:right w:val="none" w:sz="0" w:space="0" w:color="auto"/>
      </w:divBdr>
    </w:div>
    <w:div w:id="727188597">
      <w:bodyDiv w:val="1"/>
      <w:marLeft w:val="0"/>
      <w:marRight w:val="0"/>
      <w:marTop w:val="0"/>
      <w:marBottom w:val="0"/>
      <w:divBdr>
        <w:top w:val="none" w:sz="0" w:space="0" w:color="auto"/>
        <w:left w:val="none" w:sz="0" w:space="0" w:color="auto"/>
        <w:bottom w:val="none" w:sz="0" w:space="0" w:color="auto"/>
        <w:right w:val="none" w:sz="0" w:space="0" w:color="auto"/>
      </w:divBdr>
    </w:div>
    <w:div w:id="734161967">
      <w:bodyDiv w:val="1"/>
      <w:marLeft w:val="0"/>
      <w:marRight w:val="0"/>
      <w:marTop w:val="0"/>
      <w:marBottom w:val="0"/>
      <w:divBdr>
        <w:top w:val="none" w:sz="0" w:space="0" w:color="auto"/>
        <w:left w:val="none" w:sz="0" w:space="0" w:color="auto"/>
        <w:bottom w:val="none" w:sz="0" w:space="0" w:color="auto"/>
        <w:right w:val="none" w:sz="0" w:space="0" w:color="auto"/>
      </w:divBdr>
    </w:div>
    <w:div w:id="738479924">
      <w:bodyDiv w:val="1"/>
      <w:marLeft w:val="0"/>
      <w:marRight w:val="0"/>
      <w:marTop w:val="0"/>
      <w:marBottom w:val="0"/>
      <w:divBdr>
        <w:top w:val="none" w:sz="0" w:space="0" w:color="auto"/>
        <w:left w:val="none" w:sz="0" w:space="0" w:color="auto"/>
        <w:bottom w:val="none" w:sz="0" w:space="0" w:color="auto"/>
        <w:right w:val="none" w:sz="0" w:space="0" w:color="auto"/>
      </w:divBdr>
    </w:div>
    <w:div w:id="741097897">
      <w:bodyDiv w:val="1"/>
      <w:marLeft w:val="0"/>
      <w:marRight w:val="0"/>
      <w:marTop w:val="0"/>
      <w:marBottom w:val="0"/>
      <w:divBdr>
        <w:top w:val="none" w:sz="0" w:space="0" w:color="auto"/>
        <w:left w:val="none" w:sz="0" w:space="0" w:color="auto"/>
        <w:bottom w:val="none" w:sz="0" w:space="0" w:color="auto"/>
        <w:right w:val="none" w:sz="0" w:space="0" w:color="auto"/>
      </w:divBdr>
    </w:div>
    <w:div w:id="743798473">
      <w:bodyDiv w:val="1"/>
      <w:marLeft w:val="0"/>
      <w:marRight w:val="0"/>
      <w:marTop w:val="0"/>
      <w:marBottom w:val="0"/>
      <w:divBdr>
        <w:top w:val="none" w:sz="0" w:space="0" w:color="auto"/>
        <w:left w:val="none" w:sz="0" w:space="0" w:color="auto"/>
        <w:bottom w:val="none" w:sz="0" w:space="0" w:color="auto"/>
        <w:right w:val="none" w:sz="0" w:space="0" w:color="auto"/>
      </w:divBdr>
    </w:div>
    <w:div w:id="758984937">
      <w:bodyDiv w:val="1"/>
      <w:marLeft w:val="0"/>
      <w:marRight w:val="0"/>
      <w:marTop w:val="0"/>
      <w:marBottom w:val="0"/>
      <w:divBdr>
        <w:top w:val="none" w:sz="0" w:space="0" w:color="auto"/>
        <w:left w:val="none" w:sz="0" w:space="0" w:color="auto"/>
        <w:bottom w:val="none" w:sz="0" w:space="0" w:color="auto"/>
        <w:right w:val="none" w:sz="0" w:space="0" w:color="auto"/>
      </w:divBdr>
    </w:div>
    <w:div w:id="766195207">
      <w:bodyDiv w:val="1"/>
      <w:marLeft w:val="0"/>
      <w:marRight w:val="0"/>
      <w:marTop w:val="0"/>
      <w:marBottom w:val="0"/>
      <w:divBdr>
        <w:top w:val="none" w:sz="0" w:space="0" w:color="auto"/>
        <w:left w:val="none" w:sz="0" w:space="0" w:color="auto"/>
        <w:bottom w:val="none" w:sz="0" w:space="0" w:color="auto"/>
        <w:right w:val="none" w:sz="0" w:space="0" w:color="auto"/>
      </w:divBdr>
    </w:div>
    <w:div w:id="772431931">
      <w:bodyDiv w:val="1"/>
      <w:marLeft w:val="0"/>
      <w:marRight w:val="0"/>
      <w:marTop w:val="0"/>
      <w:marBottom w:val="0"/>
      <w:divBdr>
        <w:top w:val="none" w:sz="0" w:space="0" w:color="auto"/>
        <w:left w:val="none" w:sz="0" w:space="0" w:color="auto"/>
        <w:bottom w:val="none" w:sz="0" w:space="0" w:color="auto"/>
        <w:right w:val="none" w:sz="0" w:space="0" w:color="auto"/>
      </w:divBdr>
    </w:div>
    <w:div w:id="779032914">
      <w:bodyDiv w:val="1"/>
      <w:marLeft w:val="0"/>
      <w:marRight w:val="0"/>
      <w:marTop w:val="0"/>
      <w:marBottom w:val="0"/>
      <w:divBdr>
        <w:top w:val="none" w:sz="0" w:space="0" w:color="auto"/>
        <w:left w:val="none" w:sz="0" w:space="0" w:color="auto"/>
        <w:bottom w:val="none" w:sz="0" w:space="0" w:color="auto"/>
        <w:right w:val="none" w:sz="0" w:space="0" w:color="auto"/>
      </w:divBdr>
    </w:div>
    <w:div w:id="790906029">
      <w:bodyDiv w:val="1"/>
      <w:marLeft w:val="0"/>
      <w:marRight w:val="0"/>
      <w:marTop w:val="0"/>
      <w:marBottom w:val="0"/>
      <w:divBdr>
        <w:top w:val="none" w:sz="0" w:space="0" w:color="auto"/>
        <w:left w:val="none" w:sz="0" w:space="0" w:color="auto"/>
        <w:bottom w:val="none" w:sz="0" w:space="0" w:color="auto"/>
        <w:right w:val="none" w:sz="0" w:space="0" w:color="auto"/>
      </w:divBdr>
    </w:div>
    <w:div w:id="794324271">
      <w:bodyDiv w:val="1"/>
      <w:marLeft w:val="0"/>
      <w:marRight w:val="0"/>
      <w:marTop w:val="0"/>
      <w:marBottom w:val="0"/>
      <w:divBdr>
        <w:top w:val="none" w:sz="0" w:space="0" w:color="auto"/>
        <w:left w:val="none" w:sz="0" w:space="0" w:color="auto"/>
        <w:bottom w:val="none" w:sz="0" w:space="0" w:color="auto"/>
        <w:right w:val="none" w:sz="0" w:space="0" w:color="auto"/>
      </w:divBdr>
    </w:div>
    <w:div w:id="795298334">
      <w:bodyDiv w:val="1"/>
      <w:marLeft w:val="0"/>
      <w:marRight w:val="0"/>
      <w:marTop w:val="0"/>
      <w:marBottom w:val="0"/>
      <w:divBdr>
        <w:top w:val="none" w:sz="0" w:space="0" w:color="auto"/>
        <w:left w:val="none" w:sz="0" w:space="0" w:color="auto"/>
        <w:bottom w:val="none" w:sz="0" w:space="0" w:color="auto"/>
        <w:right w:val="none" w:sz="0" w:space="0" w:color="auto"/>
      </w:divBdr>
    </w:div>
    <w:div w:id="809859669">
      <w:bodyDiv w:val="1"/>
      <w:marLeft w:val="0"/>
      <w:marRight w:val="0"/>
      <w:marTop w:val="0"/>
      <w:marBottom w:val="0"/>
      <w:divBdr>
        <w:top w:val="none" w:sz="0" w:space="0" w:color="auto"/>
        <w:left w:val="none" w:sz="0" w:space="0" w:color="auto"/>
        <w:bottom w:val="none" w:sz="0" w:space="0" w:color="auto"/>
        <w:right w:val="none" w:sz="0" w:space="0" w:color="auto"/>
      </w:divBdr>
    </w:div>
    <w:div w:id="810102426">
      <w:bodyDiv w:val="1"/>
      <w:marLeft w:val="0"/>
      <w:marRight w:val="0"/>
      <w:marTop w:val="0"/>
      <w:marBottom w:val="0"/>
      <w:divBdr>
        <w:top w:val="none" w:sz="0" w:space="0" w:color="auto"/>
        <w:left w:val="none" w:sz="0" w:space="0" w:color="auto"/>
        <w:bottom w:val="none" w:sz="0" w:space="0" w:color="auto"/>
        <w:right w:val="none" w:sz="0" w:space="0" w:color="auto"/>
      </w:divBdr>
    </w:div>
    <w:div w:id="819271853">
      <w:bodyDiv w:val="1"/>
      <w:marLeft w:val="0"/>
      <w:marRight w:val="0"/>
      <w:marTop w:val="0"/>
      <w:marBottom w:val="0"/>
      <w:divBdr>
        <w:top w:val="none" w:sz="0" w:space="0" w:color="auto"/>
        <w:left w:val="none" w:sz="0" w:space="0" w:color="auto"/>
        <w:bottom w:val="none" w:sz="0" w:space="0" w:color="auto"/>
        <w:right w:val="none" w:sz="0" w:space="0" w:color="auto"/>
      </w:divBdr>
    </w:div>
    <w:div w:id="830677450">
      <w:bodyDiv w:val="1"/>
      <w:marLeft w:val="0"/>
      <w:marRight w:val="0"/>
      <w:marTop w:val="0"/>
      <w:marBottom w:val="0"/>
      <w:divBdr>
        <w:top w:val="none" w:sz="0" w:space="0" w:color="auto"/>
        <w:left w:val="none" w:sz="0" w:space="0" w:color="auto"/>
        <w:bottom w:val="none" w:sz="0" w:space="0" w:color="auto"/>
        <w:right w:val="none" w:sz="0" w:space="0" w:color="auto"/>
      </w:divBdr>
    </w:div>
    <w:div w:id="831605227">
      <w:bodyDiv w:val="1"/>
      <w:marLeft w:val="0"/>
      <w:marRight w:val="0"/>
      <w:marTop w:val="0"/>
      <w:marBottom w:val="0"/>
      <w:divBdr>
        <w:top w:val="none" w:sz="0" w:space="0" w:color="auto"/>
        <w:left w:val="none" w:sz="0" w:space="0" w:color="auto"/>
        <w:bottom w:val="none" w:sz="0" w:space="0" w:color="auto"/>
        <w:right w:val="none" w:sz="0" w:space="0" w:color="auto"/>
      </w:divBdr>
    </w:div>
    <w:div w:id="836964354">
      <w:bodyDiv w:val="1"/>
      <w:marLeft w:val="0"/>
      <w:marRight w:val="0"/>
      <w:marTop w:val="0"/>
      <w:marBottom w:val="0"/>
      <w:divBdr>
        <w:top w:val="none" w:sz="0" w:space="0" w:color="auto"/>
        <w:left w:val="none" w:sz="0" w:space="0" w:color="auto"/>
        <w:bottom w:val="none" w:sz="0" w:space="0" w:color="auto"/>
        <w:right w:val="none" w:sz="0" w:space="0" w:color="auto"/>
      </w:divBdr>
    </w:div>
    <w:div w:id="845289216">
      <w:bodyDiv w:val="1"/>
      <w:marLeft w:val="0"/>
      <w:marRight w:val="0"/>
      <w:marTop w:val="0"/>
      <w:marBottom w:val="0"/>
      <w:divBdr>
        <w:top w:val="none" w:sz="0" w:space="0" w:color="auto"/>
        <w:left w:val="none" w:sz="0" w:space="0" w:color="auto"/>
        <w:bottom w:val="none" w:sz="0" w:space="0" w:color="auto"/>
        <w:right w:val="none" w:sz="0" w:space="0" w:color="auto"/>
      </w:divBdr>
    </w:div>
    <w:div w:id="892304779">
      <w:bodyDiv w:val="1"/>
      <w:marLeft w:val="0"/>
      <w:marRight w:val="0"/>
      <w:marTop w:val="0"/>
      <w:marBottom w:val="0"/>
      <w:divBdr>
        <w:top w:val="none" w:sz="0" w:space="0" w:color="auto"/>
        <w:left w:val="none" w:sz="0" w:space="0" w:color="auto"/>
        <w:bottom w:val="none" w:sz="0" w:space="0" w:color="auto"/>
        <w:right w:val="none" w:sz="0" w:space="0" w:color="auto"/>
      </w:divBdr>
    </w:div>
    <w:div w:id="917903720">
      <w:bodyDiv w:val="1"/>
      <w:marLeft w:val="0"/>
      <w:marRight w:val="0"/>
      <w:marTop w:val="0"/>
      <w:marBottom w:val="0"/>
      <w:divBdr>
        <w:top w:val="none" w:sz="0" w:space="0" w:color="auto"/>
        <w:left w:val="none" w:sz="0" w:space="0" w:color="auto"/>
        <w:bottom w:val="none" w:sz="0" w:space="0" w:color="auto"/>
        <w:right w:val="none" w:sz="0" w:space="0" w:color="auto"/>
      </w:divBdr>
    </w:div>
    <w:div w:id="930163997">
      <w:bodyDiv w:val="1"/>
      <w:marLeft w:val="0"/>
      <w:marRight w:val="0"/>
      <w:marTop w:val="0"/>
      <w:marBottom w:val="0"/>
      <w:divBdr>
        <w:top w:val="none" w:sz="0" w:space="0" w:color="auto"/>
        <w:left w:val="none" w:sz="0" w:space="0" w:color="auto"/>
        <w:bottom w:val="none" w:sz="0" w:space="0" w:color="auto"/>
        <w:right w:val="none" w:sz="0" w:space="0" w:color="auto"/>
      </w:divBdr>
    </w:div>
    <w:div w:id="932710990">
      <w:bodyDiv w:val="1"/>
      <w:marLeft w:val="0"/>
      <w:marRight w:val="0"/>
      <w:marTop w:val="0"/>
      <w:marBottom w:val="0"/>
      <w:divBdr>
        <w:top w:val="none" w:sz="0" w:space="0" w:color="auto"/>
        <w:left w:val="none" w:sz="0" w:space="0" w:color="auto"/>
        <w:bottom w:val="none" w:sz="0" w:space="0" w:color="auto"/>
        <w:right w:val="none" w:sz="0" w:space="0" w:color="auto"/>
      </w:divBdr>
    </w:div>
    <w:div w:id="941885201">
      <w:bodyDiv w:val="1"/>
      <w:marLeft w:val="0"/>
      <w:marRight w:val="0"/>
      <w:marTop w:val="0"/>
      <w:marBottom w:val="0"/>
      <w:divBdr>
        <w:top w:val="none" w:sz="0" w:space="0" w:color="auto"/>
        <w:left w:val="none" w:sz="0" w:space="0" w:color="auto"/>
        <w:bottom w:val="none" w:sz="0" w:space="0" w:color="auto"/>
        <w:right w:val="none" w:sz="0" w:space="0" w:color="auto"/>
      </w:divBdr>
    </w:div>
    <w:div w:id="945770214">
      <w:bodyDiv w:val="1"/>
      <w:marLeft w:val="0"/>
      <w:marRight w:val="0"/>
      <w:marTop w:val="0"/>
      <w:marBottom w:val="0"/>
      <w:divBdr>
        <w:top w:val="none" w:sz="0" w:space="0" w:color="auto"/>
        <w:left w:val="none" w:sz="0" w:space="0" w:color="auto"/>
        <w:bottom w:val="none" w:sz="0" w:space="0" w:color="auto"/>
        <w:right w:val="none" w:sz="0" w:space="0" w:color="auto"/>
      </w:divBdr>
    </w:div>
    <w:div w:id="949236450">
      <w:bodyDiv w:val="1"/>
      <w:marLeft w:val="0"/>
      <w:marRight w:val="0"/>
      <w:marTop w:val="0"/>
      <w:marBottom w:val="0"/>
      <w:divBdr>
        <w:top w:val="none" w:sz="0" w:space="0" w:color="auto"/>
        <w:left w:val="none" w:sz="0" w:space="0" w:color="auto"/>
        <w:bottom w:val="none" w:sz="0" w:space="0" w:color="auto"/>
        <w:right w:val="none" w:sz="0" w:space="0" w:color="auto"/>
      </w:divBdr>
    </w:div>
    <w:div w:id="958951926">
      <w:bodyDiv w:val="1"/>
      <w:marLeft w:val="0"/>
      <w:marRight w:val="0"/>
      <w:marTop w:val="0"/>
      <w:marBottom w:val="0"/>
      <w:divBdr>
        <w:top w:val="none" w:sz="0" w:space="0" w:color="auto"/>
        <w:left w:val="none" w:sz="0" w:space="0" w:color="auto"/>
        <w:bottom w:val="none" w:sz="0" w:space="0" w:color="auto"/>
        <w:right w:val="none" w:sz="0" w:space="0" w:color="auto"/>
      </w:divBdr>
    </w:div>
    <w:div w:id="960763155">
      <w:bodyDiv w:val="1"/>
      <w:marLeft w:val="0"/>
      <w:marRight w:val="0"/>
      <w:marTop w:val="0"/>
      <w:marBottom w:val="0"/>
      <w:divBdr>
        <w:top w:val="none" w:sz="0" w:space="0" w:color="auto"/>
        <w:left w:val="none" w:sz="0" w:space="0" w:color="auto"/>
        <w:bottom w:val="none" w:sz="0" w:space="0" w:color="auto"/>
        <w:right w:val="none" w:sz="0" w:space="0" w:color="auto"/>
      </w:divBdr>
    </w:div>
    <w:div w:id="991326977">
      <w:bodyDiv w:val="1"/>
      <w:marLeft w:val="0"/>
      <w:marRight w:val="0"/>
      <w:marTop w:val="0"/>
      <w:marBottom w:val="0"/>
      <w:divBdr>
        <w:top w:val="none" w:sz="0" w:space="0" w:color="auto"/>
        <w:left w:val="none" w:sz="0" w:space="0" w:color="auto"/>
        <w:bottom w:val="none" w:sz="0" w:space="0" w:color="auto"/>
        <w:right w:val="none" w:sz="0" w:space="0" w:color="auto"/>
      </w:divBdr>
      <w:divsChild>
        <w:div w:id="1642612098">
          <w:marLeft w:val="0"/>
          <w:marRight w:val="0"/>
          <w:marTop w:val="0"/>
          <w:marBottom w:val="0"/>
          <w:divBdr>
            <w:top w:val="none" w:sz="0" w:space="0" w:color="auto"/>
            <w:left w:val="none" w:sz="0" w:space="0" w:color="auto"/>
            <w:bottom w:val="none" w:sz="0" w:space="0" w:color="auto"/>
            <w:right w:val="none" w:sz="0" w:space="0" w:color="auto"/>
          </w:divBdr>
          <w:divsChild>
            <w:div w:id="1427530348">
              <w:marLeft w:val="0"/>
              <w:marRight w:val="0"/>
              <w:marTop w:val="0"/>
              <w:marBottom w:val="0"/>
              <w:divBdr>
                <w:top w:val="none" w:sz="0" w:space="0" w:color="auto"/>
                <w:left w:val="none" w:sz="0" w:space="0" w:color="auto"/>
                <w:bottom w:val="none" w:sz="0" w:space="0" w:color="auto"/>
                <w:right w:val="none" w:sz="0" w:space="0" w:color="auto"/>
              </w:divBdr>
              <w:divsChild>
                <w:div w:id="193412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265993">
      <w:bodyDiv w:val="1"/>
      <w:marLeft w:val="0"/>
      <w:marRight w:val="0"/>
      <w:marTop w:val="0"/>
      <w:marBottom w:val="0"/>
      <w:divBdr>
        <w:top w:val="none" w:sz="0" w:space="0" w:color="auto"/>
        <w:left w:val="none" w:sz="0" w:space="0" w:color="auto"/>
        <w:bottom w:val="none" w:sz="0" w:space="0" w:color="auto"/>
        <w:right w:val="none" w:sz="0" w:space="0" w:color="auto"/>
      </w:divBdr>
    </w:div>
    <w:div w:id="1051684745">
      <w:bodyDiv w:val="1"/>
      <w:marLeft w:val="0"/>
      <w:marRight w:val="0"/>
      <w:marTop w:val="0"/>
      <w:marBottom w:val="0"/>
      <w:divBdr>
        <w:top w:val="none" w:sz="0" w:space="0" w:color="auto"/>
        <w:left w:val="none" w:sz="0" w:space="0" w:color="auto"/>
        <w:bottom w:val="none" w:sz="0" w:space="0" w:color="auto"/>
        <w:right w:val="none" w:sz="0" w:space="0" w:color="auto"/>
      </w:divBdr>
    </w:div>
    <w:div w:id="1054621462">
      <w:bodyDiv w:val="1"/>
      <w:marLeft w:val="0"/>
      <w:marRight w:val="0"/>
      <w:marTop w:val="0"/>
      <w:marBottom w:val="0"/>
      <w:divBdr>
        <w:top w:val="none" w:sz="0" w:space="0" w:color="auto"/>
        <w:left w:val="none" w:sz="0" w:space="0" w:color="auto"/>
        <w:bottom w:val="none" w:sz="0" w:space="0" w:color="auto"/>
        <w:right w:val="none" w:sz="0" w:space="0" w:color="auto"/>
      </w:divBdr>
    </w:div>
    <w:div w:id="1058866683">
      <w:bodyDiv w:val="1"/>
      <w:marLeft w:val="0"/>
      <w:marRight w:val="0"/>
      <w:marTop w:val="0"/>
      <w:marBottom w:val="0"/>
      <w:divBdr>
        <w:top w:val="none" w:sz="0" w:space="0" w:color="auto"/>
        <w:left w:val="none" w:sz="0" w:space="0" w:color="auto"/>
        <w:bottom w:val="none" w:sz="0" w:space="0" w:color="auto"/>
        <w:right w:val="none" w:sz="0" w:space="0" w:color="auto"/>
      </w:divBdr>
    </w:div>
    <w:div w:id="1064992643">
      <w:bodyDiv w:val="1"/>
      <w:marLeft w:val="0"/>
      <w:marRight w:val="0"/>
      <w:marTop w:val="0"/>
      <w:marBottom w:val="0"/>
      <w:divBdr>
        <w:top w:val="none" w:sz="0" w:space="0" w:color="auto"/>
        <w:left w:val="none" w:sz="0" w:space="0" w:color="auto"/>
        <w:bottom w:val="none" w:sz="0" w:space="0" w:color="auto"/>
        <w:right w:val="none" w:sz="0" w:space="0" w:color="auto"/>
      </w:divBdr>
    </w:div>
    <w:div w:id="1077559353">
      <w:bodyDiv w:val="1"/>
      <w:marLeft w:val="0"/>
      <w:marRight w:val="0"/>
      <w:marTop w:val="0"/>
      <w:marBottom w:val="0"/>
      <w:divBdr>
        <w:top w:val="none" w:sz="0" w:space="0" w:color="auto"/>
        <w:left w:val="none" w:sz="0" w:space="0" w:color="auto"/>
        <w:bottom w:val="none" w:sz="0" w:space="0" w:color="auto"/>
        <w:right w:val="none" w:sz="0" w:space="0" w:color="auto"/>
      </w:divBdr>
    </w:div>
    <w:div w:id="1102532675">
      <w:bodyDiv w:val="1"/>
      <w:marLeft w:val="0"/>
      <w:marRight w:val="0"/>
      <w:marTop w:val="0"/>
      <w:marBottom w:val="0"/>
      <w:divBdr>
        <w:top w:val="none" w:sz="0" w:space="0" w:color="auto"/>
        <w:left w:val="none" w:sz="0" w:space="0" w:color="auto"/>
        <w:bottom w:val="none" w:sz="0" w:space="0" w:color="auto"/>
        <w:right w:val="none" w:sz="0" w:space="0" w:color="auto"/>
      </w:divBdr>
    </w:div>
    <w:div w:id="1103577636">
      <w:bodyDiv w:val="1"/>
      <w:marLeft w:val="0"/>
      <w:marRight w:val="0"/>
      <w:marTop w:val="0"/>
      <w:marBottom w:val="0"/>
      <w:divBdr>
        <w:top w:val="none" w:sz="0" w:space="0" w:color="auto"/>
        <w:left w:val="none" w:sz="0" w:space="0" w:color="auto"/>
        <w:bottom w:val="none" w:sz="0" w:space="0" w:color="auto"/>
        <w:right w:val="none" w:sz="0" w:space="0" w:color="auto"/>
      </w:divBdr>
    </w:div>
    <w:div w:id="1107820721">
      <w:bodyDiv w:val="1"/>
      <w:marLeft w:val="0"/>
      <w:marRight w:val="0"/>
      <w:marTop w:val="0"/>
      <w:marBottom w:val="0"/>
      <w:divBdr>
        <w:top w:val="none" w:sz="0" w:space="0" w:color="auto"/>
        <w:left w:val="none" w:sz="0" w:space="0" w:color="auto"/>
        <w:bottom w:val="none" w:sz="0" w:space="0" w:color="auto"/>
        <w:right w:val="none" w:sz="0" w:space="0" w:color="auto"/>
      </w:divBdr>
    </w:div>
    <w:div w:id="1122648365">
      <w:bodyDiv w:val="1"/>
      <w:marLeft w:val="0"/>
      <w:marRight w:val="0"/>
      <w:marTop w:val="0"/>
      <w:marBottom w:val="0"/>
      <w:divBdr>
        <w:top w:val="none" w:sz="0" w:space="0" w:color="auto"/>
        <w:left w:val="none" w:sz="0" w:space="0" w:color="auto"/>
        <w:bottom w:val="none" w:sz="0" w:space="0" w:color="auto"/>
        <w:right w:val="none" w:sz="0" w:space="0" w:color="auto"/>
      </w:divBdr>
      <w:divsChild>
        <w:div w:id="1340618878">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123307058">
      <w:bodyDiv w:val="1"/>
      <w:marLeft w:val="0"/>
      <w:marRight w:val="0"/>
      <w:marTop w:val="0"/>
      <w:marBottom w:val="0"/>
      <w:divBdr>
        <w:top w:val="none" w:sz="0" w:space="0" w:color="auto"/>
        <w:left w:val="none" w:sz="0" w:space="0" w:color="auto"/>
        <w:bottom w:val="none" w:sz="0" w:space="0" w:color="auto"/>
        <w:right w:val="none" w:sz="0" w:space="0" w:color="auto"/>
      </w:divBdr>
    </w:div>
    <w:div w:id="1133985425">
      <w:bodyDiv w:val="1"/>
      <w:marLeft w:val="0"/>
      <w:marRight w:val="0"/>
      <w:marTop w:val="0"/>
      <w:marBottom w:val="0"/>
      <w:divBdr>
        <w:top w:val="none" w:sz="0" w:space="0" w:color="auto"/>
        <w:left w:val="none" w:sz="0" w:space="0" w:color="auto"/>
        <w:bottom w:val="none" w:sz="0" w:space="0" w:color="auto"/>
        <w:right w:val="none" w:sz="0" w:space="0" w:color="auto"/>
      </w:divBdr>
    </w:div>
    <w:div w:id="1137914078">
      <w:bodyDiv w:val="1"/>
      <w:marLeft w:val="0"/>
      <w:marRight w:val="0"/>
      <w:marTop w:val="0"/>
      <w:marBottom w:val="0"/>
      <w:divBdr>
        <w:top w:val="none" w:sz="0" w:space="0" w:color="auto"/>
        <w:left w:val="none" w:sz="0" w:space="0" w:color="auto"/>
        <w:bottom w:val="none" w:sz="0" w:space="0" w:color="auto"/>
        <w:right w:val="none" w:sz="0" w:space="0" w:color="auto"/>
      </w:divBdr>
    </w:div>
    <w:div w:id="1180313344">
      <w:bodyDiv w:val="1"/>
      <w:marLeft w:val="0"/>
      <w:marRight w:val="0"/>
      <w:marTop w:val="0"/>
      <w:marBottom w:val="0"/>
      <w:divBdr>
        <w:top w:val="none" w:sz="0" w:space="0" w:color="auto"/>
        <w:left w:val="none" w:sz="0" w:space="0" w:color="auto"/>
        <w:bottom w:val="none" w:sz="0" w:space="0" w:color="auto"/>
        <w:right w:val="none" w:sz="0" w:space="0" w:color="auto"/>
      </w:divBdr>
    </w:div>
    <w:div w:id="1191841217">
      <w:bodyDiv w:val="1"/>
      <w:marLeft w:val="0"/>
      <w:marRight w:val="0"/>
      <w:marTop w:val="0"/>
      <w:marBottom w:val="0"/>
      <w:divBdr>
        <w:top w:val="none" w:sz="0" w:space="0" w:color="auto"/>
        <w:left w:val="none" w:sz="0" w:space="0" w:color="auto"/>
        <w:bottom w:val="none" w:sz="0" w:space="0" w:color="auto"/>
        <w:right w:val="none" w:sz="0" w:space="0" w:color="auto"/>
      </w:divBdr>
    </w:div>
    <w:div w:id="1193808828">
      <w:bodyDiv w:val="1"/>
      <w:marLeft w:val="0"/>
      <w:marRight w:val="0"/>
      <w:marTop w:val="0"/>
      <w:marBottom w:val="0"/>
      <w:divBdr>
        <w:top w:val="none" w:sz="0" w:space="0" w:color="auto"/>
        <w:left w:val="none" w:sz="0" w:space="0" w:color="auto"/>
        <w:bottom w:val="none" w:sz="0" w:space="0" w:color="auto"/>
        <w:right w:val="none" w:sz="0" w:space="0" w:color="auto"/>
      </w:divBdr>
    </w:div>
    <w:div w:id="1194880869">
      <w:bodyDiv w:val="1"/>
      <w:marLeft w:val="0"/>
      <w:marRight w:val="0"/>
      <w:marTop w:val="0"/>
      <w:marBottom w:val="0"/>
      <w:divBdr>
        <w:top w:val="none" w:sz="0" w:space="0" w:color="auto"/>
        <w:left w:val="none" w:sz="0" w:space="0" w:color="auto"/>
        <w:bottom w:val="none" w:sz="0" w:space="0" w:color="auto"/>
        <w:right w:val="none" w:sz="0" w:space="0" w:color="auto"/>
      </w:divBdr>
    </w:div>
    <w:div w:id="1225680894">
      <w:bodyDiv w:val="1"/>
      <w:marLeft w:val="0"/>
      <w:marRight w:val="0"/>
      <w:marTop w:val="0"/>
      <w:marBottom w:val="0"/>
      <w:divBdr>
        <w:top w:val="none" w:sz="0" w:space="0" w:color="auto"/>
        <w:left w:val="none" w:sz="0" w:space="0" w:color="auto"/>
        <w:bottom w:val="none" w:sz="0" w:space="0" w:color="auto"/>
        <w:right w:val="none" w:sz="0" w:space="0" w:color="auto"/>
      </w:divBdr>
    </w:div>
    <w:div w:id="1258321136">
      <w:bodyDiv w:val="1"/>
      <w:marLeft w:val="0"/>
      <w:marRight w:val="0"/>
      <w:marTop w:val="0"/>
      <w:marBottom w:val="0"/>
      <w:divBdr>
        <w:top w:val="none" w:sz="0" w:space="0" w:color="auto"/>
        <w:left w:val="none" w:sz="0" w:space="0" w:color="auto"/>
        <w:bottom w:val="none" w:sz="0" w:space="0" w:color="auto"/>
        <w:right w:val="none" w:sz="0" w:space="0" w:color="auto"/>
      </w:divBdr>
    </w:div>
    <w:div w:id="1280137852">
      <w:bodyDiv w:val="1"/>
      <w:marLeft w:val="0"/>
      <w:marRight w:val="0"/>
      <w:marTop w:val="0"/>
      <w:marBottom w:val="0"/>
      <w:divBdr>
        <w:top w:val="none" w:sz="0" w:space="0" w:color="auto"/>
        <w:left w:val="none" w:sz="0" w:space="0" w:color="auto"/>
        <w:bottom w:val="none" w:sz="0" w:space="0" w:color="auto"/>
        <w:right w:val="none" w:sz="0" w:space="0" w:color="auto"/>
      </w:divBdr>
    </w:div>
    <w:div w:id="1280724211">
      <w:bodyDiv w:val="1"/>
      <w:marLeft w:val="0"/>
      <w:marRight w:val="0"/>
      <w:marTop w:val="0"/>
      <w:marBottom w:val="0"/>
      <w:divBdr>
        <w:top w:val="none" w:sz="0" w:space="0" w:color="auto"/>
        <w:left w:val="none" w:sz="0" w:space="0" w:color="auto"/>
        <w:bottom w:val="none" w:sz="0" w:space="0" w:color="auto"/>
        <w:right w:val="none" w:sz="0" w:space="0" w:color="auto"/>
      </w:divBdr>
    </w:div>
    <w:div w:id="1322613271">
      <w:bodyDiv w:val="1"/>
      <w:marLeft w:val="0"/>
      <w:marRight w:val="0"/>
      <w:marTop w:val="0"/>
      <w:marBottom w:val="0"/>
      <w:divBdr>
        <w:top w:val="none" w:sz="0" w:space="0" w:color="auto"/>
        <w:left w:val="none" w:sz="0" w:space="0" w:color="auto"/>
        <w:bottom w:val="none" w:sz="0" w:space="0" w:color="auto"/>
        <w:right w:val="none" w:sz="0" w:space="0" w:color="auto"/>
      </w:divBdr>
    </w:div>
    <w:div w:id="1322738642">
      <w:bodyDiv w:val="1"/>
      <w:marLeft w:val="0"/>
      <w:marRight w:val="0"/>
      <w:marTop w:val="0"/>
      <w:marBottom w:val="0"/>
      <w:divBdr>
        <w:top w:val="none" w:sz="0" w:space="0" w:color="auto"/>
        <w:left w:val="none" w:sz="0" w:space="0" w:color="auto"/>
        <w:bottom w:val="none" w:sz="0" w:space="0" w:color="auto"/>
        <w:right w:val="none" w:sz="0" w:space="0" w:color="auto"/>
      </w:divBdr>
      <w:divsChild>
        <w:div w:id="1336811230">
          <w:marLeft w:val="0"/>
          <w:marRight w:val="0"/>
          <w:marTop w:val="0"/>
          <w:marBottom w:val="0"/>
          <w:divBdr>
            <w:top w:val="none" w:sz="0" w:space="0" w:color="auto"/>
            <w:left w:val="none" w:sz="0" w:space="0" w:color="auto"/>
            <w:bottom w:val="none" w:sz="0" w:space="0" w:color="auto"/>
            <w:right w:val="none" w:sz="0" w:space="0" w:color="auto"/>
          </w:divBdr>
          <w:divsChild>
            <w:div w:id="1215964308">
              <w:marLeft w:val="0"/>
              <w:marRight w:val="0"/>
              <w:marTop w:val="0"/>
              <w:marBottom w:val="0"/>
              <w:divBdr>
                <w:top w:val="none" w:sz="0" w:space="0" w:color="auto"/>
                <w:left w:val="none" w:sz="0" w:space="0" w:color="auto"/>
                <w:bottom w:val="none" w:sz="0" w:space="0" w:color="auto"/>
                <w:right w:val="none" w:sz="0" w:space="0" w:color="auto"/>
              </w:divBdr>
              <w:divsChild>
                <w:div w:id="569658709">
                  <w:marLeft w:val="0"/>
                  <w:marRight w:val="0"/>
                  <w:marTop w:val="0"/>
                  <w:marBottom w:val="0"/>
                  <w:divBdr>
                    <w:top w:val="none" w:sz="0" w:space="0" w:color="auto"/>
                    <w:left w:val="none" w:sz="0" w:space="0" w:color="auto"/>
                    <w:bottom w:val="none" w:sz="0" w:space="0" w:color="auto"/>
                    <w:right w:val="none" w:sz="0" w:space="0" w:color="auto"/>
                  </w:divBdr>
                  <w:divsChild>
                    <w:div w:id="85427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703317">
      <w:bodyDiv w:val="1"/>
      <w:marLeft w:val="0"/>
      <w:marRight w:val="0"/>
      <w:marTop w:val="0"/>
      <w:marBottom w:val="0"/>
      <w:divBdr>
        <w:top w:val="none" w:sz="0" w:space="0" w:color="auto"/>
        <w:left w:val="none" w:sz="0" w:space="0" w:color="auto"/>
        <w:bottom w:val="none" w:sz="0" w:space="0" w:color="auto"/>
        <w:right w:val="none" w:sz="0" w:space="0" w:color="auto"/>
      </w:divBdr>
    </w:div>
    <w:div w:id="1328557173">
      <w:bodyDiv w:val="1"/>
      <w:marLeft w:val="0"/>
      <w:marRight w:val="0"/>
      <w:marTop w:val="0"/>
      <w:marBottom w:val="0"/>
      <w:divBdr>
        <w:top w:val="none" w:sz="0" w:space="0" w:color="auto"/>
        <w:left w:val="none" w:sz="0" w:space="0" w:color="auto"/>
        <w:bottom w:val="none" w:sz="0" w:space="0" w:color="auto"/>
        <w:right w:val="none" w:sz="0" w:space="0" w:color="auto"/>
      </w:divBdr>
    </w:div>
    <w:div w:id="1339231909">
      <w:bodyDiv w:val="1"/>
      <w:marLeft w:val="0"/>
      <w:marRight w:val="0"/>
      <w:marTop w:val="0"/>
      <w:marBottom w:val="0"/>
      <w:divBdr>
        <w:top w:val="none" w:sz="0" w:space="0" w:color="auto"/>
        <w:left w:val="none" w:sz="0" w:space="0" w:color="auto"/>
        <w:bottom w:val="none" w:sz="0" w:space="0" w:color="auto"/>
        <w:right w:val="none" w:sz="0" w:space="0" w:color="auto"/>
      </w:divBdr>
    </w:div>
    <w:div w:id="1352217382">
      <w:bodyDiv w:val="1"/>
      <w:marLeft w:val="0"/>
      <w:marRight w:val="0"/>
      <w:marTop w:val="0"/>
      <w:marBottom w:val="0"/>
      <w:divBdr>
        <w:top w:val="none" w:sz="0" w:space="0" w:color="auto"/>
        <w:left w:val="none" w:sz="0" w:space="0" w:color="auto"/>
        <w:bottom w:val="none" w:sz="0" w:space="0" w:color="auto"/>
        <w:right w:val="none" w:sz="0" w:space="0" w:color="auto"/>
      </w:divBdr>
    </w:div>
    <w:div w:id="1360666954">
      <w:bodyDiv w:val="1"/>
      <w:marLeft w:val="0"/>
      <w:marRight w:val="0"/>
      <w:marTop w:val="0"/>
      <w:marBottom w:val="0"/>
      <w:divBdr>
        <w:top w:val="none" w:sz="0" w:space="0" w:color="auto"/>
        <w:left w:val="none" w:sz="0" w:space="0" w:color="auto"/>
        <w:bottom w:val="none" w:sz="0" w:space="0" w:color="auto"/>
        <w:right w:val="none" w:sz="0" w:space="0" w:color="auto"/>
      </w:divBdr>
    </w:div>
    <w:div w:id="1362323307">
      <w:bodyDiv w:val="1"/>
      <w:marLeft w:val="0"/>
      <w:marRight w:val="0"/>
      <w:marTop w:val="0"/>
      <w:marBottom w:val="0"/>
      <w:divBdr>
        <w:top w:val="none" w:sz="0" w:space="0" w:color="auto"/>
        <w:left w:val="none" w:sz="0" w:space="0" w:color="auto"/>
        <w:bottom w:val="none" w:sz="0" w:space="0" w:color="auto"/>
        <w:right w:val="none" w:sz="0" w:space="0" w:color="auto"/>
      </w:divBdr>
      <w:divsChild>
        <w:div w:id="1842236133">
          <w:marLeft w:val="0"/>
          <w:marRight w:val="0"/>
          <w:marTop w:val="225"/>
          <w:marBottom w:val="225"/>
          <w:divBdr>
            <w:top w:val="none" w:sz="0" w:space="0" w:color="auto"/>
            <w:left w:val="none" w:sz="0" w:space="0" w:color="auto"/>
            <w:bottom w:val="none" w:sz="0" w:space="0" w:color="auto"/>
            <w:right w:val="none" w:sz="0" w:space="0" w:color="auto"/>
          </w:divBdr>
          <w:divsChild>
            <w:div w:id="1691108216">
              <w:marLeft w:val="0"/>
              <w:marRight w:val="0"/>
              <w:marTop w:val="0"/>
              <w:marBottom w:val="0"/>
              <w:divBdr>
                <w:top w:val="none" w:sz="0" w:space="0" w:color="auto"/>
                <w:left w:val="none" w:sz="0" w:space="0" w:color="auto"/>
                <w:bottom w:val="none" w:sz="0" w:space="0" w:color="auto"/>
                <w:right w:val="none" w:sz="0" w:space="0" w:color="auto"/>
              </w:divBdr>
              <w:divsChild>
                <w:div w:id="1025206756">
                  <w:marLeft w:val="0"/>
                  <w:marRight w:val="0"/>
                  <w:marTop w:val="0"/>
                  <w:marBottom w:val="0"/>
                  <w:divBdr>
                    <w:top w:val="none" w:sz="0" w:space="0" w:color="auto"/>
                    <w:left w:val="none" w:sz="0" w:space="0" w:color="auto"/>
                    <w:bottom w:val="none" w:sz="0" w:space="0" w:color="auto"/>
                    <w:right w:val="none" w:sz="0" w:space="0" w:color="auto"/>
                  </w:divBdr>
                  <w:divsChild>
                    <w:div w:id="1912350679">
                      <w:marLeft w:val="0"/>
                      <w:marRight w:val="0"/>
                      <w:marTop w:val="0"/>
                      <w:marBottom w:val="0"/>
                      <w:divBdr>
                        <w:top w:val="none" w:sz="0" w:space="0" w:color="auto"/>
                        <w:left w:val="none" w:sz="0" w:space="0" w:color="auto"/>
                        <w:bottom w:val="none" w:sz="0" w:space="0" w:color="auto"/>
                        <w:right w:val="none" w:sz="0" w:space="0" w:color="auto"/>
                      </w:divBdr>
                    </w:div>
                    <w:div w:id="60446462">
                      <w:marLeft w:val="0"/>
                      <w:marRight w:val="0"/>
                      <w:marTop w:val="0"/>
                      <w:marBottom w:val="0"/>
                      <w:divBdr>
                        <w:top w:val="none" w:sz="0" w:space="0" w:color="auto"/>
                        <w:left w:val="none" w:sz="0" w:space="0" w:color="auto"/>
                        <w:bottom w:val="none" w:sz="0" w:space="0" w:color="auto"/>
                        <w:right w:val="none" w:sz="0" w:space="0" w:color="auto"/>
                      </w:divBdr>
                    </w:div>
                    <w:div w:id="1966962116">
                      <w:marLeft w:val="0"/>
                      <w:marRight w:val="0"/>
                      <w:marTop w:val="0"/>
                      <w:marBottom w:val="0"/>
                      <w:divBdr>
                        <w:top w:val="none" w:sz="0" w:space="0" w:color="auto"/>
                        <w:left w:val="none" w:sz="0" w:space="0" w:color="auto"/>
                        <w:bottom w:val="none" w:sz="0" w:space="0" w:color="auto"/>
                        <w:right w:val="none" w:sz="0" w:space="0" w:color="auto"/>
                      </w:divBdr>
                    </w:div>
                    <w:div w:id="2826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326248">
      <w:bodyDiv w:val="1"/>
      <w:marLeft w:val="0"/>
      <w:marRight w:val="0"/>
      <w:marTop w:val="0"/>
      <w:marBottom w:val="0"/>
      <w:divBdr>
        <w:top w:val="none" w:sz="0" w:space="0" w:color="auto"/>
        <w:left w:val="none" w:sz="0" w:space="0" w:color="auto"/>
        <w:bottom w:val="none" w:sz="0" w:space="0" w:color="auto"/>
        <w:right w:val="none" w:sz="0" w:space="0" w:color="auto"/>
      </w:divBdr>
    </w:div>
    <w:div w:id="1383483671">
      <w:bodyDiv w:val="1"/>
      <w:marLeft w:val="0"/>
      <w:marRight w:val="0"/>
      <w:marTop w:val="0"/>
      <w:marBottom w:val="0"/>
      <w:divBdr>
        <w:top w:val="none" w:sz="0" w:space="0" w:color="auto"/>
        <w:left w:val="none" w:sz="0" w:space="0" w:color="auto"/>
        <w:bottom w:val="none" w:sz="0" w:space="0" w:color="auto"/>
        <w:right w:val="none" w:sz="0" w:space="0" w:color="auto"/>
      </w:divBdr>
      <w:divsChild>
        <w:div w:id="1245649931">
          <w:marLeft w:val="0"/>
          <w:marRight w:val="0"/>
          <w:marTop w:val="0"/>
          <w:marBottom w:val="0"/>
          <w:divBdr>
            <w:top w:val="none" w:sz="0" w:space="0" w:color="auto"/>
            <w:left w:val="none" w:sz="0" w:space="0" w:color="auto"/>
            <w:bottom w:val="none" w:sz="0" w:space="0" w:color="auto"/>
            <w:right w:val="none" w:sz="0" w:space="0" w:color="auto"/>
          </w:divBdr>
          <w:divsChild>
            <w:div w:id="1480226976">
              <w:marLeft w:val="0"/>
              <w:marRight w:val="0"/>
              <w:marTop w:val="0"/>
              <w:marBottom w:val="0"/>
              <w:divBdr>
                <w:top w:val="none" w:sz="0" w:space="0" w:color="auto"/>
                <w:left w:val="none" w:sz="0" w:space="0" w:color="auto"/>
                <w:bottom w:val="none" w:sz="0" w:space="0" w:color="auto"/>
                <w:right w:val="none" w:sz="0" w:space="0" w:color="auto"/>
              </w:divBdr>
              <w:divsChild>
                <w:div w:id="63178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288452">
      <w:bodyDiv w:val="1"/>
      <w:marLeft w:val="0"/>
      <w:marRight w:val="0"/>
      <w:marTop w:val="0"/>
      <w:marBottom w:val="0"/>
      <w:divBdr>
        <w:top w:val="none" w:sz="0" w:space="0" w:color="auto"/>
        <w:left w:val="none" w:sz="0" w:space="0" w:color="auto"/>
        <w:bottom w:val="none" w:sz="0" w:space="0" w:color="auto"/>
        <w:right w:val="none" w:sz="0" w:space="0" w:color="auto"/>
      </w:divBdr>
    </w:div>
    <w:div w:id="1403406365">
      <w:bodyDiv w:val="1"/>
      <w:marLeft w:val="0"/>
      <w:marRight w:val="0"/>
      <w:marTop w:val="0"/>
      <w:marBottom w:val="0"/>
      <w:divBdr>
        <w:top w:val="none" w:sz="0" w:space="0" w:color="auto"/>
        <w:left w:val="none" w:sz="0" w:space="0" w:color="auto"/>
        <w:bottom w:val="none" w:sz="0" w:space="0" w:color="auto"/>
        <w:right w:val="none" w:sz="0" w:space="0" w:color="auto"/>
      </w:divBdr>
    </w:div>
    <w:div w:id="1418551940">
      <w:bodyDiv w:val="1"/>
      <w:marLeft w:val="0"/>
      <w:marRight w:val="0"/>
      <w:marTop w:val="0"/>
      <w:marBottom w:val="0"/>
      <w:divBdr>
        <w:top w:val="none" w:sz="0" w:space="0" w:color="auto"/>
        <w:left w:val="none" w:sz="0" w:space="0" w:color="auto"/>
        <w:bottom w:val="none" w:sz="0" w:space="0" w:color="auto"/>
        <w:right w:val="none" w:sz="0" w:space="0" w:color="auto"/>
      </w:divBdr>
    </w:div>
    <w:div w:id="1431244751">
      <w:bodyDiv w:val="1"/>
      <w:marLeft w:val="0"/>
      <w:marRight w:val="0"/>
      <w:marTop w:val="0"/>
      <w:marBottom w:val="0"/>
      <w:divBdr>
        <w:top w:val="none" w:sz="0" w:space="0" w:color="auto"/>
        <w:left w:val="none" w:sz="0" w:space="0" w:color="auto"/>
        <w:bottom w:val="none" w:sz="0" w:space="0" w:color="auto"/>
        <w:right w:val="none" w:sz="0" w:space="0" w:color="auto"/>
      </w:divBdr>
    </w:div>
    <w:div w:id="1443845974">
      <w:bodyDiv w:val="1"/>
      <w:marLeft w:val="0"/>
      <w:marRight w:val="0"/>
      <w:marTop w:val="0"/>
      <w:marBottom w:val="0"/>
      <w:divBdr>
        <w:top w:val="none" w:sz="0" w:space="0" w:color="auto"/>
        <w:left w:val="none" w:sz="0" w:space="0" w:color="auto"/>
        <w:bottom w:val="none" w:sz="0" w:space="0" w:color="auto"/>
        <w:right w:val="none" w:sz="0" w:space="0" w:color="auto"/>
      </w:divBdr>
    </w:div>
    <w:div w:id="1455832358">
      <w:bodyDiv w:val="1"/>
      <w:marLeft w:val="0"/>
      <w:marRight w:val="0"/>
      <w:marTop w:val="0"/>
      <w:marBottom w:val="0"/>
      <w:divBdr>
        <w:top w:val="none" w:sz="0" w:space="0" w:color="auto"/>
        <w:left w:val="none" w:sz="0" w:space="0" w:color="auto"/>
        <w:bottom w:val="none" w:sz="0" w:space="0" w:color="auto"/>
        <w:right w:val="none" w:sz="0" w:space="0" w:color="auto"/>
      </w:divBdr>
    </w:div>
    <w:div w:id="1470778656">
      <w:bodyDiv w:val="1"/>
      <w:marLeft w:val="0"/>
      <w:marRight w:val="0"/>
      <w:marTop w:val="0"/>
      <w:marBottom w:val="0"/>
      <w:divBdr>
        <w:top w:val="none" w:sz="0" w:space="0" w:color="auto"/>
        <w:left w:val="none" w:sz="0" w:space="0" w:color="auto"/>
        <w:bottom w:val="none" w:sz="0" w:space="0" w:color="auto"/>
        <w:right w:val="none" w:sz="0" w:space="0" w:color="auto"/>
      </w:divBdr>
    </w:div>
    <w:div w:id="1477724671">
      <w:bodyDiv w:val="1"/>
      <w:marLeft w:val="0"/>
      <w:marRight w:val="0"/>
      <w:marTop w:val="0"/>
      <w:marBottom w:val="0"/>
      <w:divBdr>
        <w:top w:val="none" w:sz="0" w:space="0" w:color="auto"/>
        <w:left w:val="none" w:sz="0" w:space="0" w:color="auto"/>
        <w:bottom w:val="none" w:sz="0" w:space="0" w:color="auto"/>
        <w:right w:val="none" w:sz="0" w:space="0" w:color="auto"/>
      </w:divBdr>
    </w:div>
    <w:div w:id="1536309884">
      <w:bodyDiv w:val="1"/>
      <w:marLeft w:val="0"/>
      <w:marRight w:val="0"/>
      <w:marTop w:val="0"/>
      <w:marBottom w:val="0"/>
      <w:divBdr>
        <w:top w:val="none" w:sz="0" w:space="0" w:color="auto"/>
        <w:left w:val="none" w:sz="0" w:space="0" w:color="auto"/>
        <w:bottom w:val="none" w:sz="0" w:space="0" w:color="auto"/>
        <w:right w:val="none" w:sz="0" w:space="0" w:color="auto"/>
      </w:divBdr>
      <w:divsChild>
        <w:div w:id="491289090">
          <w:marLeft w:val="0"/>
          <w:marRight w:val="0"/>
          <w:marTop w:val="0"/>
          <w:marBottom w:val="0"/>
          <w:divBdr>
            <w:top w:val="none" w:sz="0" w:space="0" w:color="auto"/>
            <w:left w:val="none" w:sz="0" w:space="0" w:color="auto"/>
            <w:bottom w:val="none" w:sz="0" w:space="0" w:color="auto"/>
            <w:right w:val="none" w:sz="0" w:space="0" w:color="auto"/>
          </w:divBdr>
          <w:divsChild>
            <w:div w:id="302663265">
              <w:marLeft w:val="0"/>
              <w:marRight w:val="0"/>
              <w:marTop w:val="0"/>
              <w:marBottom w:val="0"/>
              <w:divBdr>
                <w:top w:val="none" w:sz="0" w:space="0" w:color="auto"/>
                <w:left w:val="none" w:sz="0" w:space="0" w:color="auto"/>
                <w:bottom w:val="none" w:sz="0" w:space="0" w:color="auto"/>
                <w:right w:val="none" w:sz="0" w:space="0" w:color="auto"/>
              </w:divBdr>
              <w:divsChild>
                <w:div w:id="103122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93483">
      <w:bodyDiv w:val="1"/>
      <w:marLeft w:val="0"/>
      <w:marRight w:val="0"/>
      <w:marTop w:val="0"/>
      <w:marBottom w:val="0"/>
      <w:divBdr>
        <w:top w:val="none" w:sz="0" w:space="0" w:color="auto"/>
        <w:left w:val="none" w:sz="0" w:space="0" w:color="auto"/>
        <w:bottom w:val="none" w:sz="0" w:space="0" w:color="auto"/>
        <w:right w:val="none" w:sz="0" w:space="0" w:color="auto"/>
      </w:divBdr>
    </w:div>
    <w:div w:id="1593317479">
      <w:bodyDiv w:val="1"/>
      <w:marLeft w:val="0"/>
      <w:marRight w:val="0"/>
      <w:marTop w:val="0"/>
      <w:marBottom w:val="0"/>
      <w:divBdr>
        <w:top w:val="none" w:sz="0" w:space="0" w:color="auto"/>
        <w:left w:val="none" w:sz="0" w:space="0" w:color="auto"/>
        <w:bottom w:val="none" w:sz="0" w:space="0" w:color="auto"/>
        <w:right w:val="none" w:sz="0" w:space="0" w:color="auto"/>
      </w:divBdr>
    </w:div>
    <w:div w:id="1600259783">
      <w:bodyDiv w:val="1"/>
      <w:marLeft w:val="0"/>
      <w:marRight w:val="0"/>
      <w:marTop w:val="0"/>
      <w:marBottom w:val="0"/>
      <w:divBdr>
        <w:top w:val="none" w:sz="0" w:space="0" w:color="auto"/>
        <w:left w:val="none" w:sz="0" w:space="0" w:color="auto"/>
        <w:bottom w:val="none" w:sz="0" w:space="0" w:color="auto"/>
        <w:right w:val="none" w:sz="0" w:space="0" w:color="auto"/>
      </w:divBdr>
    </w:div>
    <w:div w:id="1608273629">
      <w:bodyDiv w:val="1"/>
      <w:marLeft w:val="0"/>
      <w:marRight w:val="0"/>
      <w:marTop w:val="0"/>
      <w:marBottom w:val="0"/>
      <w:divBdr>
        <w:top w:val="none" w:sz="0" w:space="0" w:color="auto"/>
        <w:left w:val="none" w:sz="0" w:space="0" w:color="auto"/>
        <w:bottom w:val="none" w:sz="0" w:space="0" w:color="auto"/>
        <w:right w:val="none" w:sz="0" w:space="0" w:color="auto"/>
      </w:divBdr>
    </w:div>
    <w:div w:id="1629118863">
      <w:bodyDiv w:val="1"/>
      <w:marLeft w:val="0"/>
      <w:marRight w:val="0"/>
      <w:marTop w:val="0"/>
      <w:marBottom w:val="0"/>
      <w:divBdr>
        <w:top w:val="none" w:sz="0" w:space="0" w:color="auto"/>
        <w:left w:val="none" w:sz="0" w:space="0" w:color="auto"/>
        <w:bottom w:val="none" w:sz="0" w:space="0" w:color="auto"/>
        <w:right w:val="none" w:sz="0" w:space="0" w:color="auto"/>
      </w:divBdr>
    </w:div>
    <w:div w:id="1633904776">
      <w:bodyDiv w:val="1"/>
      <w:marLeft w:val="0"/>
      <w:marRight w:val="0"/>
      <w:marTop w:val="0"/>
      <w:marBottom w:val="0"/>
      <w:divBdr>
        <w:top w:val="none" w:sz="0" w:space="0" w:color="auto"/>
        <w:left w:val="none" w:sz="0" w:space="0" w:color="auto"/>
        <w:bottom w:val="none" w:sz="0" w:space="0" w:color="auto"/>
        <w:right w:val="none" w:sz="0" w:space="0" w:color="auto"/>
      </w:divBdr>
    </w:div>
    <w:div w:id="1648625943">
      <w:bodyDiv w:val="1"/>
      <w:marLeft w:val="0"/>
      <w:marRight w:val="0"/>
      <w:marTop w:val="0"/>
      <w:marBottom w:val="0"/>
      <w:divBdr>
        <w:top w:val="none" w:sz="0" w:space="0" w:color="auto"/>
        <w:left w:val="none" w:sz="0" w:space="0" w:color="auto"/>
        <w:bottom w:val="none" w:sz="0" w:space="0" w:color="auto"/>
        <w:right w:val="none" w:sz="0" w:space="0" w:color="auto"/>
      </w:divBdr>
    </w:div>
    <w:div w:id="1664508560">
      <w:bodyDiv w:val="1"/>
      <w:marLeft w:val="0"/>
      <w:marRight w:val="0"/>
      <w:marTop w:val="0"/>
      <w:marBottom w:val="0"/>
      <w:divBdr>
        <w:top w:val="none" w:sz="0" w:space="0" w:color="auto"/>
        <w:left w:val="none" w:sz="0" w:space="0" w:color="auto"/>
        <w:bottom w:val="none" w:sz="0" w:space="0" w:color="auto"/>
        <w:right w:val="none" w:sz="0" w:space="0" w:color="auto"/>
      </w:divBdr>
    </w:div>
    <w:div w:id="1677031359">
      <w:bodyDiv w:val="1"/>
      <w:marLeft w:val="0"/>
      <w:marRight w:val="0"/>
      <w:marTop w:val="0"/>
      <w:marBottom w:val="0"/>
      <w:divBdr>
        <w:top w:val="none" w:sz="0" w:space="0" w:color="auto"/>
        <w:left w:val="none" w:sz="0" w:space="0" w:color="auto"/>
        <w:bottom w:val="none" w:sz="0" w:space="0" w:color="auto"/>
        <w:right w:val="none" w:sz="0" w:space="0" w:color="auto"/>
      </w:divBdr>
    </w:div>
    <w:div w:id="1690065778">
      <w:bodyDiv w:val="1"/>
      <w:marLeft w:val="0"/>
      <w:marRight w:val="0"/>
      <w:marTop w:val="0"/>
      <w:marBottom w:val="0"/>
      <w:divBdr>
        <w:top w:val="none" w:sz="0" w:space="0" w:color="auto"/>
        <w:left w:val="none" w:sz="0" w:space="0" w:color="auto"/>
        <w:bottom w:val="none" w:sz="0" w:space="0" w:color="auto"/>
        <w:right w:val="none" w:sz="0" w:space="0" w:color="auto"/>
      </w:divBdr>
    </w:div>
    <w:div w:id="1695111446">
      <w:bodyDiv w:val="1"/>
      <w:marLeft w:val="0"/>
      <w:marRight w:val="0"/>
      <w:marTop w:val="0"/>
      <w:marBottom w:val="0"/>
      <w:divBdr>
        <w:top w:val="none" w:sz="0" w:space="0" w:color="auto"/>
        <w:left w:val="none" w:sz="0" w:space="0" w:color="auto"/>
        <w:bottom w:val="none" w:sz="0" w:space="0" w:color="auto"/>
        <w:right w:val="none" w:sz="0" w:space="0" w:color="auto"/>
      </w:divBdr>
    </w:div>
    <w:div w:id="1729500311">
      <w:bodyDiv w:val="1"/>
      <w:marLeft w:val="0"/>
      <w:marRight w:val="0"/>
      <w:marTop w:val="0"/>
      <w:marBottom w:val="0"/>
      <w:divBdr>
        <w:top w:val="none" w:sz="0" w:space="0" w:color="auto"/>
        <w:left w:val="none" w:sz="0" w:space="0" w:color="auto"/>
        <w:bottom w:val="none" w:sz="0" w:space="0" w:color="auto"/>
        <w:right w:val="none" w:sz="0" w:space="0" w:color="auto"/>
      </w:divBdr>
    </w:div>
    <w:div w:id="1732190269">
      <w:bodyDiv w:val="1"/>
      <w:marLeft w:val="0"/>
      <w:marRight w:val="0"/>
      <w:marTop w:val="0"/>
      <w:marBottom w:val="0"/>
      <w:divBdr>
        <w:top w:val="none" w:sz="0" w:space="0" w:color="auto"/>
        <w:left w:val="none" w:sz="0" w:space="0" w:color="auto"/>
        <w:bottom w:val="none" w:sz="0" w:space="0" w:color="auto"/>
        <w:right w:val="none" w:sz="0" w:space="0" w:color="auto"/>
      </w:divBdr>
    </w:div>
    <w:div w:id="1750619529">
      <w:bodyDiv w:val="1"/>
      <w:marLeft w:val="0"/>
      <w:marRight w:val="0"/>
      <w:marTop w:val="0"/>
      <w:marBottom w:val="0"/>
      <w:divBdr>
        <w:top w:val="none" w:sz="0" w:space="0" w:color="auto"/>
        <w:left w:val="none" w:sz="0" w:space="0" w:color="auto"/>
        <w:bottom w:val="none" w:sz="0" w:space="0" w:color="auto"/>
        <w:right w:val="none" w:sz="0" w:space="0" w:color="auto"/>
      </w:divBdr>
    </w:div>
    <w:div w:id="1751345926">
      <w:bodyDiv w:val="1"/>
      <w:marLeft w:val="0"/>
      <w:marRight w:val="0"/>
      <w:marTop w:val="0"/>
      <w:marBottom w:val="0"/>
      <w:divBdr>
        <w:top w:val="none" w:sz="0" w:space="0" w:color="auto"/>
        <w:left w:val="none" w:sz="0" w:space="0" w:color="auto"/>
        <w:bottom w:val="none" w:sz="0" w:space="0" w:color="auto"/>
        <w:right w:val="none" w:sz="0" w:space="0" w:color="auto"/>
      </w:divBdr>
      <w:divsChild>
        <w:div w:id="1220745581">
          <w:marLeft w:val="0"/>
          <w:marRight w:val="0"/>
          <w:marTop w:val="0"/>
          <w:marBottom w:val="0"/>
          <w:divBdr>
            <w:top w:val="none" w:sz="0" w:space="0" w:color="auto"/>
            <w:left w:val="none" w:sz="0" w:space="0" w:color="auto"/>
            <w:bottom w:val="none" w:sz="0" w:space="0" w:color="auto"/>
            <w:right w:val="none" w:sz="0" w:space="0" w:color="auto"/>
          </w:divBdr>
          <w:divsChild>
            <w:div w:id="2046758781">
              <w:marLeft w:val="0"/>
              <w:marRight w:val="0"/>
              <w:marTop w:val="0"/>
              <w:marBottom w:val="0"/>
              <w:divBdr>
                <w:top w:val="none" w:sz="0" w:space="0" w:color="auto"/>
                <w:left w:val="none" w:sz="0" w:space="0" w:color="auto"/>
                <w:bottom w:val="none" w:sz="0" w:space="0" w:color="auto"/>
                <w:right w:val="none" w:sz="0" w:space="0" w:color="auto"/>
              </w:divBdr>
              <w:divsChild>
                <w:div w:id="1160317569">
                  <w:marLeft w:val="0"/>
                  <w:marRight w:val="0"/>
                  <w:marTop w:val="0"/>
                  <w:marBottom w:val="0"/>
                  <w:divBdr>
                    <w:top w:val="none" w:sz="0" w:space="0" w:color="auto"/>
                    <w:left w:val="none" w:sz="0" w:space="0" w:color="auto"/>
                    <w:bottom w:val="none" w:sz="0" w:space="0" w:color="auto"/>
                    <w:right w:val="none" w:sz="0" w:space="0" w:color="auto"/>
                  </w:divBdr>
                  <w:divsChild>
                    <w:div w:id="36059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388655">
      <w:bodyDiv w:val="1"/>
      <w:marLeft w:val="0"/>
      <w:marRight w:val="0"/>
      <w:marTop w:val="0"/>
      <w:marBottom w:val="0"/>
      <w:divBdr>
        <w:top w:val="none" w:sz="0" w:space="0" w:color="auto"/>
        <w:left w:val="none" w:sz="0" w:space="0" w:color="auto"/>
        <w:bottom w:val="none" w:sz="0" w:space="0" w:color="auto"/>
        <w:right w:val="none" w:sz="0" w:space="0" w:color="auto"/>
      </w:divBdr>
    </w:div>
    <w:div w:id="1797016937">
      <w:bodyDiv w:val="1"/>
      <w:marLeft w:val="0"/>
      <w:marRight w:val="0"/>
      <w:marTop w:val="0"/>
      <w:marBottom w:val="0"/>
      <w:divBdr>
        <w:top w:val="none" w:sz="0" w:space="0" w:color="auto"/>
        <w:left w:val="none" w:sz="0" w:space="0" w:color="auto"/>
        <w:bottom w:val="none" w:sz="0" w:space="0" w:color="auto"/>
        <w:right w:val="none" w:sz="0" w:space="0" w:color="auto"/>
      </w:divBdr>
    </w:div>
    <w:div w:id="1804958492">
      <w:bodyDiv w:val="1"/>
      <w:marLeft w:val="0"/>
      <w:marRight w:val="0"/>
      <w:marTop w:val="0"/>
      <w:marBottom w:val="0"/>
      <w:divBdr>
        <w:top w:val="none" w:sz="0" w:space="0" w:color="auto"/>
        <w:left w:val="none" w:sz="0" w:space="0" w:color="auto"/>
        <w:bottom w:val="none" w:sz="0" w:space="0" w:color="auto"/>
        <w:right w:val="none" w:sz="0" w:space="0" w:color="auto"/>
      </w:divBdr>
    </w:div>
    <w:div w:id="1813324647">
      <w:bodyDiv w:val="1"/>
      <w:marLeft w:val="0"/>
      <w:marRight w:val="0"/>
      <w:marTop w:val="0"/>
      <w:marBottom w:val="0"/>
      <w:divBdr>
        <w:top w:val="none" w:sz="0" w:space="0" w:color="auto"/>
        <w:left w:val="none" w:sz="0" w:space="0" w:color="auto"/>
        <w:bottom w:val="none" w:sz="0" w:space="0" w:color="auto"/>
        <w:right w:val="none" w:sz="0" w:space="0" w:color="auto"/>
      </w:divBdr>
    </w:div>
    <w:div w:id="1817066850">
      <w:bodyDiv w:val="1"/>
      <w:marLeft w:val="0"/>
      <w:marRight w:val="0"/>
      <w:marTop w:val="0"/>
      <w:marBottom w:val="0"/>
      <w:divBdr>
        <w:top w:val="none" w:sz="0" w:space="0" w:color="auto"/>
        <w:left w:val="none" w:sz="0" w:space="0" w:color="auto"/>
        <w:bottom w:val="none" w:sz="0" w:space="0" w:color="auto"/>
        <w:right w:val="none" w:sz="0" w:space="0" w:color="auto"/>
      </w:divBdr>
    </w:div>
    <w:div w:id="1823694799">
      <w:bodyDiv w:val="1"/>
      <w:marLeft w:val="0"/>
      <w:marRight w:val="0"/>
      <w:marTop w:val="0"/>
      <w:marBottom w:val="0"/>
      <w:divBdr>
        <w:top w:val="none" w:sz="0" w:space="0" w:color="auto"/>
        <w:left w:val="none" w:sz="0" w:space="0" w:color="auto"/>
        <w:bottom w:val="none" w:sz="0" w:space="0" w:color="auto"/>
        <w:right w:val="none" w:sz="0" w:space="0" w:color="auto"/>
      </w:divBdr>
    </w:div>
    <w:div w:id="1851795683">
      <w:bodyDiv w:val="1"/>
      <w:marLeft w:val="0"/>
      <w:marRight w:val="0"/>
      <w:marTop w:val="0"/>
      <w:marBottom w:val="0"/>
      <w:divBdr>
        <w:top w:val="none" w:sz="0" w:space="0" w:color="auto"/>
        <w:left w:val="none" w:sz="0" w:space="0" w:color="auto"/>
        <w:bottom w:val="none" w:sz="0" w:space="0" w:color="auto"/>
        <w:right w:val="none" w:sz="0" w:space="0" w:color="auto"/>
      </w:divBdr>
    </w:div>
    <w:div w:id="1928659201">
      <w:bodyDiv w:val="1"/>
      <w:marLeft w:val="0"/>
      <w:marRight w:val="0"/>
      <w:marTop w:val="0"/>
      <w:marBottom w:val="0"/>
      <w:divBdr>
        <w:top w:val="none" w:sz="0" w:space="0" w:color="auto"/>
        <w:left w:val="none" w:sz="0" w:space="0" w:color="auto"/>
        <w:bottom w:val="none" w:sz="0" w:space="0" w:color="auto"/>
        <w:right w:val="none" w:sz="0" w:space="0" w:color="auto"/>
      </w:divBdr>
    </w:div>
    <w:div w:id="1936018370">
      <w:bodyDiv w:val="1"/>
      <w:marLeft w:val="0"/>
      <w:marRight w:val="0"/>
      <w:marTop w:val="0"/>
      <w:marBottom w:val="0"/>
      <w:divBdr>
        <w:top w:val="none" w:sz="0" w:space="0" w:color="auto"/>
        <w:left w:val="none" w:sz="0" w:space="0" w:color="auto"/>
        <w:bottom w:val="none" w:sz="0" w:space="0" w:color="auto"/>
        <w:right w:val="none" w:sz="0" w:space="0" w:color="auto"/>
      </w:divBdr>
    </w:div>
    <w:div w:id="1951081055">
      <w:bodyDiv w:val="1"/>
      <w:marLeft w:val="0"/>
      <w:marRight w:val="0"/>
      <w:marTop w:val="0"/>
      <w:marBottom w:val="0"/>
      <w:divBdr>
        <w:top w:val="none" w:sz="0" w:space="0" w:color="auto"/>
        <w:left w:val="none" w:sz="0" w:space="0" w:color="auto"/>
        <w:bottom w:val="none" w:sz="0" w:space="0" w:color="auto"/>
        <w:right w:val="none" w:sz="0" w:space="0" w:color="auto"/>
      </w:divBdr>
      <w:divsChild>
        <w:div w:id="92476887">
          <w:marLeft w:val="0"/>
          <w:marRight w:val="0"/>
          <w:marTop w:val="0"/>
          <w:marBottom w:val="0"/>
          <w:divBdr>
            <w:top w:val="none" w:sz="0" w:space="0" w:color="auto"/>
            <w:left w:val="none" w:sz="0" w:space="0" w:color="auto"/>
            <w:bottom w:val="none" w:sz="0" w:space="0" w:color="auto"/>
            <w:right w:val="none" w:sz="0" w:space="0" w:color="auto"/>
          </w:divBdr>
          <w:divsChild>
            <w:div w:id="399131589">
              <w:marLeft w:val="0"/>
              <w:marRight w:val="0"/>
              <w:marTop w:val="0"/>
              <w:marBottom w:val="0"/>
              <w:divBdr>
                <w:top w:val="none" w:sz="0" w:space="0" w:color="auto"/>
                <w:left w:val="none" w:sz="0" w:space="0" w:color="auto"/>
                <w:bottom w:val="none" w:sz="0" w:space="0" w:color="auto"/>
                <w:right w:val="none" w:sz="0" w:space="0" w:color="auto"/>
              </w:divBdr>
              <w:divsChild>
                <w:div w:id="1108233902">
                  <w:marLeft w:val="0"/>
                  <w:marRight w:val="0"/>
                  <w:marTop w:val="0"/>
                  <w:marBottom w:val="0"/>
                  <w:divBdr>
                    <w:top w:val="none" w:sz="0" w:space="0" w:color="auto"/>
                    <w:left w:val="none" w:sz="0" w:space="0" w:color="auto"/>
                    <w:bottom w:val="none" w:sz="0" w:space="0" w:color="auto"/>
                    <w:right w:val="none" w:sz="0" w:space="0" w:color="auto"/>
                  </w:divBdr>
                  <w:divsChild>
                    <w:div w:id="17219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565546">
      <w:bodyDiv w:val="1"/>
      <w:marLeft w:val="0"/>
      <w:marRight w:val="0"/>
      <w:marTop w:val="0"/>
      <w:marBottom w:val="0"/>
      <w:divBdr>
        <w:top w:val="none" w:sz="0" w:space="0" w:color="auto"/>
        <w:left w:val="none" w:sz="0" w:space="0" w:color="auto"/>
        <w:bottom w:val="none" w:sz="0" w:space="0" w:color="auto"/>
        <w:right w:val="none" w:sz="0" w:space="0" w:color="auto"/>
      </w:divBdr>
    </w:div>
    <w:div w:id="1974558594">
      <w:bodyDiv w:val="1"/>
      <w:marLeft w:val="0"/>
      <w:marRight w:val="0"/>
      <w:marTop w:val="0"/>
      <w:marBottom w:val="0"/>
      <w:divBdr>
        <w:top w:val="none" w:sz="0" w:space="0" w:color="auto"/>
        <w:left w:val="none" w:sz="0" w:space="0" w:color="auto"/>
        <w:bottom w:val="none" w:sz="0" w:space="0" w:color="auto"/>
        <w:right w:val="none" w:sz="0" w:space="0" w:color="auto"/>
      </w:divBdr>
    </w:div>
    <w:div w:id="1974602018">
      <w:bodyDiv w:val="1"/>
      <w:marLeft w:val="0"/>
      <w:marRight w:val="0"/>
      <w:marTop w:val="0"/>
      <w:marBottom w:val="0"/>
      <w:divBdr>
        <w:top w:val="none" w:sz="0" w:space="0" w:color="auto"/>
        <w:left w:val="none" w:sz="0" w:space="0" w:color="auto"/>
        <w:bottom w:val="none" w:sz="0" w:space="0" w:color="auto"/>
        <w:right w:val="none" w:sz="0" w:space="0" w:color="auto"/>
      </w:divBdr>
    </w:div>
    <w:div w:id="1986465805">
      <w:bodyDiv w:val="1"/>
      <w:marLeft w:val="0"/>
      <w:marRight w:val="0"/>
      <w:marTop w:val="0"/>
      <w:marBottom w:val="0"/>
      <w:divBdr>
        <w:top w:val="none" w:sz="0" w:space="0" w:color="auto"/>
        <w:left w:val="none" w:sz="0" w:space="0" w:color="auto"/>
        <w:bottom w:val="none" w:sz="0" w:space="0" w:color="auto"/>
        <w:right w:val="none" w:sz="0" w:space="0" w:color="auto"/>
      </w:divBdr>
    </w:div>
    <w:div w:id="1990010174">
      <w:bodyDiv w:val="1"/>
      <w:marLeft w:val="0"/>
      <w:marRight w:val="0"/>
      <w:marTop w:val="0"/>
      <w:marBottom w:val="0"/>
      <w:divBdr>
        <w:top w:val="none" w:sz="0" w:space="0" w:color="auto"/>
        <w:left w:val="none" w:sz="0" w:space="0" w:color="auto"/>
        <w:bottom w:val="none" w:sz="0" w:space="0" w:color="auto"/>
        <w:right w:val="none" w:sz="0" w:space="0" w:color="auto"/>
      </w:divBdr>
    </w:div>
    <w:div w:id="1991010471">
      <w:bodyDiv w:val="1"/>
      <w:marLeft w:val="0"/>
      <w:marRight w:val="0"/>
      <w:marTop w:val="0"/>
      <w:marBottom w:val="0"/>
      <w:divBdr>
        <w:top w:val="none" w:sz="0" w:space="0" w:color="auto"/>
        <w:left w:val="none" w:sz="0" w:space="0" w:color="auto"/>
        <w:bottom w:val="none" w:sz="0" w:space="0" w:color="auto"/>
        <w:right w:val="none" w:sz="0" w:space="0" w:color="auto"/>
      </w:divBdr>
    </w:div>
    <w:div w:id="1997492576">
      <w:bodyDiv w:val="1"/>
      <w:marLeft w:val="0"/>
      <w:marRight w:val="0"/>
      <w:marTop w:val="0"/>
      <w:marBottom w:val="0"/>
      <w:divBdr>
        <w:top w:val="none" w:sz="0" w:space="0" w:color="auto"/>
        <w:left w:val="none" w:sz="0" w:space="0" w:color="auto"/>
        <w:bottom w:val="none" w:sz="0" w:space="0" w:color="auto"/>
        <w:right w:val="none" w:sz="0" w:space="0" w:color="auto"/>
      </w:divBdr>
    </w:div>
    <w:div w:id="2009601270">
      <w:bodyDiv w:val="1"/>
      <w:marLeft w:val="0"/>
      <w:marRight w:val="0"/>
      <w:marTop w:val="0"/>
      <w:marBottom w:val="0"/>
      <w:divBdr>
        <w:top w:val="none" w:sz="0" w:space="0" w:color="auto"/>
        <w:left w:val="none" w:sz="0" w:space="0" w:color="auto"/>
        <w:bottom w:val="none" w:sz="0" w:space="0" w:color="auto"/>
        <w:right w:val="none" w:sz="0" w:space="0" w:color="auto"/>
      </w:divBdr>
    </w:div>
    <w:div w:id="2014448236">
      <w:bodyDiv w:val="1"/>
      <w:marLeft w:val="0"/>
      <w:marRight w:val="0"/>
      <w:marTop w:val="0"/>
      <w:marBottom w:val="0"/>
      <w:divBdr>
        <w:top w:val="none" w:sz="0" w:space="0" w:color="auto"/>
        <w:left w:val="none" w:sz="0" w:space="0" w:color="auto"/>
        <w:bottom w:val="none" w:sz="0" w:space="0" w:color="auto"/>
        <w:right w:val="none" w:sz="0" w:space="0" w:color="auto"/>
      </w:divBdr>
    </w:div>
    <w:div w:id="2023163798">
      <w:bodyDiv w:val="1"/>
      <w:marLeft w:val="0"/>
      <w:marRight w:val="0"/>
      <w:marTop w:val="0"/>
      <w:marBottom w:val="0"/>
      <w:divBdr>
        <w:top w:val="none" w:sz="0" w:space="0" w:color="auto"/>
        <w:left w:val="none" w:sz="0" w:space="0" w:color="auto"/>
        <w:bottom w:val="none" w:sz="0" w:space="0" w:color="auto"/>
        <w:right w:val="none" w:sz="0" w:space="0" w:color="auto"/>
      </w:divBdr>
    </w:div>
    <w:div w:id="2036807997">
      <w:bodyDiv w:val="1"/>
      <w:marLeft w:val="0"/>
      <w:marRight w:val="0"/>
      <w:marTop w:val="0"/>
      <w:marBottom w:val="0"/>
      <w:divBdr>
        <w:top w:val="none" w:sz="0" w:space="0" w:color="auto"/>
        <w:left w:val="none" w:sz="0" w:space="0" w:color="auto"/>
        <w:bottom w:val="none" w:sz="0" w:space="0" w:color="auto"/>
        <w:right w:val="none" w:sz="0" w:space="0" w:color="auto"/>
      </w:divBdr>
    </w:div>
    <w:div w:id="2043091300">
      <w:bodyDiv w:val="1"/>
      <w:marLeft w:val="0"/>
      <w:marRight w:val="0"/>
      <w:marTop w:val="0"/>
      <w:marBottom w:val="0"/>
      <w:divBdr>
        <w:top w:val="none" w:sz="0" w:space="0" w:color="auto"/>
        <w:left w:val="none" w:sz="0" w:space="0" w:color="auto"/>
        <w:bottom w:val="none" w:sz="0" w:space="0" w:color="auto"/>
        <w:right w:val="none" w:sz="0" w:space="0" w:color="auto"/>
      </w:divBdr>
      <w:divsChild>
        <w:div w:id="676660524">
          <w:marLeft w:val="0"/>
          <w:marRight w:val="0"/>
          <w:marTop w:val="0"/>
          <w:marBottom w:val="0"/>
          <w:divBdr>
            <w:top w:val="none" w:sz="0" w:space="0" w:color="auto"/>
            <w:left w:val="none" w:sz="0" w:space="0" w:color="auto"/>
            <w:bottom w:val="none" w:sz="0" w:space="0" w:color="auto"/>
            <w:right w:val="none" w:sz="0" w:space="0" w:color="auto"/>
          </w:divBdr>
          <w:divsChild>
            <w:div w:id="1185556557">
              <w:marLeft w:val="0"/>
              <w:marRight w:val="0"/>
              <w:marTop w:val="0"/>
              <w:marBottom w:val="0"/>
              <w:divBdr>
                <w:top w:val="none" w:sz="0" w:space="0" w:color="auto"/>
                <w:left w:val="none" w:sz="0" w:space="0" w:color="auto"/>
                <w:bottom w:val="none" w:sz="0" w:space="0" w:color="auto"/>
                <w:right w:val="none" w:sz="0" w:space="0" w:color="auto"/>
              </w:divBdr>
              <w:divsChild>
                <w:div w:id="1193038816">
                  <w:marLeft w:val="0"/>
                  <w:marRight w:val="0"/>
                  <w:marTop w:val="0"/>
                  <w:marBottom w:val="0"/>
                  <w:divBdr>
                    <w:top w:val="none" w:sz="0" w:space="0" w:color="auto"/>
                    <w:left w:val="none" w:sz="0" w:space="0" w:color="auto"/>
                    <w:bottom w:val="none" w:sz="0" w:space="0" w:color="auto"/>
                    <w:right w:val="none" w:sz="0" w:space="0" w:color="auto"/>
                  </w:divBdr>
                  <w:divsChild>
                    <w:div w:id="63248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297869">
      <w:bodyDiv w:val="1"/>
      <w:marLeft w:val="0"/>
      <w:marRight w:val="0"/>
      <w:marTop w:val="0"/>
      <w:marBottom w:val="0"/>
      <w:divBdr>
        <w:top w:val="none" w:sz="0" w:space="0" w:color="auto"/>
        <w:left w:val="none" w:sz="0" w:space="0" w:color="auto"/>
        <w:bottom w:val="none" w:sz="0" w:space="0" w:color="auto"/>
        <w:right w:val="none" w:sz="0" w:space="0" w:color="auto"/>
      </w:divBdr>
      <w:divsChild>
        <w:div w:id="208274078">
          <w:marLeft w:val="-240"/>
          <w:marRight w:val="-240"/>
          <w:marTop w:val="0"/>
          <w:marBottom w:val="0"/>
          <w:divBdr>
            <w:top w:val="none" w:sz="0" w:space="0" w:color="auto"/>
            <w:left w:val="none" w:sz="0" w:space="0" w:color="auto"/>
            <w:bottom w:val="none" w:sz="0" w:space="0" w:color="auto"/>
            <w:right w:val="none" w:sz="0" w:space="0" w:color="auto"/>
          </w:divBdr>
          <w:divsChild>
            <w:div w:id="1710763281">
              <w:marLeft w:val="0"/>
              <w:marRight w:val="0"/>
              <w:marTop w:val="0"/>
              <w:marBottom w:val="0"/>
              <w:divBdr>
                <w:top w:val="none" w:sz="0" w:space="0" w:color="auto"/>
                <w:left w:val="none" w:sz="0" w:space="0" w:color="auto"/>
                <w:bottom w:val="none" w:sz="0" w:space="0" w:color="auto"/>
                <w:right w:val="none" w:sz="0" w:space="0" w:color="auto"/>
              </w:divBdr>
              <w:divsChild>
                <w:div w:id="105408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181111">
      <w:bodyDiv w:val="1"/>
      <w:marLeft w:val="0"/>
      <w:marRight w:val="0"/>
      <w:marTop w:val="0"/>
      <w:marBottom w:val="0"/>
      <w:divBdr>
        <w:top w:val="none" w:sz="0" w:space="0" w:color="auto"/>
        <w:left w:val="none" w:sz="0" w:space="0" w:color="auto"/>
        <w:bottom w:val="none" w:sz="0" w:space="0" w:color="auto"/>
        <w:right w:val="none" w:sz="0" w:space="0" w:color="auto"/>
      </w:divBdr>
    </w:div>
    <w:div w:id="2077627886">
      <w:bodyDiv w:val="1"/>
      <w:marLeft w:val="0"/>
      <w:marRight w:val="0"/>
      <w:marTop w:val="0"/>
      <w:marBottom w:val="0"/>
      <w:divBdr>
        <w:top w:val="none" w:sz="0" w:space="0" w:color="auto"/>
        <w:left w:val="none" w:sz="0" w:space="0" w:color="auto"/>
        <w:bottom w:val="none" w:sz="0" w:space="0" w:color="auto"/>
        <w:right w:val="none" w:sz="0" w:space="0" w:color="auto"/>
      </w:divBdr>
    </w:div>
    <w:div w:id="2082680840">
      <w:bodyDiv w:val="1"/>
      <w:marLeft w:val="0"/>
      <w:marRight w:val="0"/>
      <w:marTop w:val="0"/>
      <w:marBottom w:val="0"/>
      <w:divBdr>
        <w:top w:val="none" w:sz="0" w:space="0" w:color="auto"/>
        <w:left w:val="none" w:sz="0" w:space="0" w:color="auto"/>
        <w:bottom w:val="none" w:sz="0" w:space="0" w:color="auto"/>
        <w:right w:val="none" w:sz="0" w:space="0" w:color="auto"/>
      </w:divBdr>
    </w:div>
    <w:div w:id="2092121869">
      <w:bodyDiv w:val="1"/>
      <w:marLeft w:val="0"/>
      <w:marRight w:val="0"/>
      <w:marTop w:val="0"/>
      <w:marBottom w:val="0"/>
      <w:divBdr>
        <w:top w:val="none" w:sz="0" w:space="0" w:color="auto"/>
        <w:left w:val="none" w:sz="0" w:space="0" w:color="auto"/>
        <w:bottom w:val="none" w:sz="0" w:space="0" w:color="auto"/>
        <w:right w:val="none" w:sz="0" w:space="0" w:color="auto"/>
      </w:divBdr>
    </w:div>
    <w:div w:id="2094472608">
      <w:bodyDiv w:val="1"/>
      <w:marLeft w:val="0"/>
      <w:marRight w:val="0"/>
      <w:marTop w:val="0"/>
      <w:marBottom w:val="0"/>
      <w:divBdr>
        <w:top w:val="none" w:sz="0" w:space="0" w:color="auto"/>
        <w:left w:val="none" w:sz="0" w:space="0" w:color="auto"/>
        <w:bottom w:val="none" w:sz="0" w:space="0" w:color="auto"/>
        <w:right w:val="none" w:sz="0" w:space="0" w:color="auto"/>
      </w:divBdr>
    </w:div>
    <w:div w:id="2094743455">
      <w:bodyDiv w:val="1"/>
      <w:marLeft w:val="0"/>
      <w:marRight w:val="0"/>
      <w:marTop w:val="0"/>
      <w:marBottom w:val="0"/>
      <w:divBdr>
        <w:top w:val="none" w:sz="0" w:space="0" w:color="auto"/>
        <w:left w:val="none" w:sz="0" w:space="0" w:color="auto"/>
        <w:bottom w:val="none" w:sz="0" w:space="0" w:color="auto"/>
        <w:right w:val="none" w:sz="0" w:space="0" w:color="auto"/>
      </w:divBdr>
    </w:div>
    <w:div w:id="2100365996">
      <w:bodyDiv w:val="1"/>
      <w:marLeft w:val="0"/>
      <w:marRight w:val="0"/>
      <w:marTop w:val="0"/>
      <w:marBottom w:val="0"/>
      <w:divBdr>
        <w:top w:val="none" w:sz="0" w:space="0" w:color="auto"/>
        <w:left w:val="none" w:sz="0" w:space="0" w:color="auto"/>
        <w:bottom w:val="none" w:sz="0" w:space="0" w:color="auto"/>
        <w:right w:val="none" w:sz="0" w:space="0" w:color="auto"/>
      </w:divBdr>
    </w:div>
    <w:div w:id="2105683027">
      <w:bodyDiv w:val="1"/>
      <w:marLeft w:val="0"/>
      <w:marRight w:val="0"/>
      <w:marTop w:val="0"/>
      <w:marBottom w:val="0"/>
      <w:divBdr>
        <w:top w:val="none" w:sz="0" w:space="0" w:color="auto"/>
        <w:left w:val="none" w:sz="0" w:space="0" w:color="auto"/>
        <w:bottom w:val="none" w:sz="0" w:space="0" w:color="auto"/>
        <w:right w:val="none" w:sz="0" w:space="0" w:color="auto"/>
      </w:divBdr>
    </w:div>
    <w:div w:id="2119256924">
      <w:bodyDiv w:val="1"/>
      <w:marLeft w:val="0"/>
      <w:marRight w:val="0"/>
      <w:marTop w:val="0"/>
      <w:marBottom w:val="0"/>
      <w:divBdr>
        <w:top w:val="none" w:sz="0" w:space="0" w:color="auto"/>
        <w:left w:val="none" w:sz="0" w:space="0" w:color="auto"/>
        <w:bottom w:val="none" w:sz="0" w:space="0" w:color="auto"/>
        <w:right w:val="none" w:sz="0" w:space="0" w:color="auto"/>
      </w:divBdr>
    </w:div>
    <w:div w:id="21364877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gt-health-analytics-1.us-east-1.elasticbeanstalk.com/#/cohortdefinition/634" TargetMode="External"/><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http://gt-health-analytics-1.us-east-1.elasticbeanstalk.com/#/cohortdefinition/633"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gt-health-analytics-1.us-east-1.elasticbeanstalk.com/#/cohortdefinition/632" TargetMode="External"/><Relationship Id="rId14" Type="http://schemas.openxmlformats.org/officeDocument/2006/relationships/image" Target="media/image3.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85F819-13A5-4EA1-8889-6BB9A732B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3265</TotalTime>
  <Pages>11</Pages>
  <Words>11911</Words>
  <Characters>67898</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Case Study #3 – Antibiotics</vt:lpstr>
    </vt:vector>
  </TitlesOfParts>
  <Company/>
  <LinksUpToDate>false</LinksUpToDate>
  <CharactersWithSpaces>79650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 Study #3 – Antibiotics</dc:title>
  <dc:subject>CS6440 Intro Health Informatics, 2020 Spring</dc:subject>
  <dc:creator>Xia, Hui</dc:creator>
  <cp:keywords/>
  <dc:description/>
  <cp:lastModifiedBy>Huang, Shuyan</cp:lastModifiedBy>
  <cp:revision>243</cp:revision>
  <cp:lastPrinted>2020-03-06T21:21:00Z</cp:lastPrinted>
  <dcterms:created xsi:type="dcterms:W3CDTF">2020-03-04T12:59:00Z</dcterms:created>
  <dcterms:modified xsi:type="dcterms:W3CDTF">2020-03-06T21:21:00Z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96333c85-3c77-37a7-b7de-56f257e83a44</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