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rFonts w:eastAsia="Times New Roman"/>
          <w:b/>
          <w:i/>
        </w:rPr>
      </w:sdtEndPr>
      <w:sdtContent>
        <w:p w14:paraId="281B19DF" w14:textId="3A6C086D" w:rsidR="000F5DE6" w:rsidRPr="00A23F73" w:rsidRDefault="007C286B">
          <w:pPr>
            <w:pStyle w:val="NoSpacing"/>
            <w:rPr>
              <w:rFonts w:ascii="Arial" w:hAnsi="Arial" w:cs="Arial"/>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A23F73" w:rsidRDefault="00AE3A3A">
          <w:pPr>
            <w:rPr>
              <w:rFonts w:ascii="Arial" w:hAnsi="Arial" w:cs="Arial"/>
            </w:rPr>
          </w:pPr>
          <w:r w:rsidRPr="00A23F73">
            <w:rPr>
              <w:rFonts w:ascii="Arial" w:hAnsi="Arial" w:cs="Arial"/>
              <w:noProof/>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0E32F6" w:rsidRPr="00AE3A3A" w:rsidRDefault="007C286B">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0E32F6" w:rsidRPr="00AE3A3A" w:rsidRDefault="007C286B">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87EDE">
                                <w:rPr>
                                  <w:rFonts w:ascii="Arial" w:hAnsi="Arial" w:cs="Arial"/>
                                  <w:color w:val="000000" w:themeColor="text1"/>
                                  <w:sz w:val="36"/>
                                  <w:szCs w:val="36"/>
                                </w:rPr>
                                <w:t>Xia, Hui</w:t>
                              </w:r>
                            </w:sdtContent>
                          </w:sdt>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A23F73">
            <w:rPr>
              <w:rFonts w:ascii="Arial" w:hAnsi="Arial" w:cs="Arial"/>
              <w:noProof/>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611A7043" w:rsidR="000E32F6" w:rsidRPr="00987EDE" w:rsidRDefault="007C286B">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DA1C6D" w:rsidRPr="00987EDE">
                                      <w:rPr>
                                        <w:rStyle w:val="HeaderChar"/>
                                        <w:rFonts w:ascii="Arial" w:eastAsia="Times New Roman" w:hAnsi="Arial" w:cs="Arial"/>
                                        <w:bCs/>
                                        <w:color w:val="000000" w:themeColor="text1"/>
                                        <w:sz w:val="72"/>
                                        <w:szCs w:val="72"/>
                                      </w:rPr>
                                      <w:t>Case Study #1 – Cardiovascular: Vioxx</w:t>
                                    </w:r>
                                  </w:sdtContent>
                                </w:sdt>
                              </w:p>
                              <w:p w14:paraId="3342E36A" w14:textId="33D4BA04" w:rsidR="000E32F6" w:rsidRPr="00987EDE" w:rsidRDefault="007C286B"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611A7043" w:rsidR="000E32F6" w:rsidRPr="00987EDE" w:rsidRDefault="007C286B">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DA1C6D" w:rsidRPr="00987EDE">
                                <w:rPr>
                                  <w:rStyle w:val="HeaderChar"/>
                                  <w:rFonts w:ascii="Arial" w:eastAsia="Times New Roman" w:hAnsi="Arial" w:cs="Arial"/>
                                  <w:bCs/>
                                  <w:color w:val="000000" w:themeColor="text1"/>
                                  <w:sz w:val="72"/>
                                  <w:szCs w:val="72"/>
                                </w:rPr>
                                <w:t>Case Study #1 – Cardiovascular: Vioxx</w:t>
                              </w:r>
                            </w:sdtContent>
                          </w:sdt>
                        </w:p>
                        <w:p w14:paraId="3342E36A" w14:textId="33D4BA04" w:rsidR="000E32F6" w:rsidRPr="00987EDE" w:rsidRDefault="007C286B"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DA1C6D" w:rsidRPr="00987EDE">
                                <w:rPr>
                                  <w:rFonts w:ascii="Arial" w:eastAsia="SimSun" w:hAnsi="Arial" w:cs="Arial"/>
                                  <w:color w:val="404040" w:themeColor="text1" w:themeTint="BF"/>
                                  <w:sz w:val="32"/>
                                  <w:szCs w:val="36"/>
                                </w:rPr>
                                <w:t>CS</w:t>
                              </w:r>
                              <w:r w:rsidR="00DA1C6D" w:rsidRPr="00987EDE">
                                <w:rPr>
                                  <w:rFonts w:ascii="Arial" w:hAnsi="Arial" w:cs="Arial"/>
                                  <w:color w:val="404040" w:themeColor="text1" w:themeTint="BF"/>
                                  <w:sz w:val="32"/>
                                  <w:szCs w:val="36"/>
                                </w:rPr>
                                <w:t>6440 Intro Health Informatics</w:t>
                              </w:r>
                              <w:r w:rsidR="00DA1C6D" w:rsidRPr="00987EDE">
                                <w:rPr>
                                  <w:rFonts w:ascii="Arial" w:eastAsia="SimSun" w:hAnsi="Arial" w:cs="Arial"/>
                                  <w:color w:val="404040" w:themeColor="text1" w:themeTint="BF"/>
                                  <w:sz w:val="32"/>
                                  <w:szCs w:val="36"/>
                                </w:rPr>
                                <w:t>, 20</w:t>
                              </w:r>
                              <w:r w:rsidR="00DA1C6D" w:rsidRPr="00987EDE">
                                <w:rPr>
                                  <w:rFonts w:ascii="Arial" w:hAnsi="Arial" w:cs="Arial"/>
                                  <w:color w:val="404040" w:themeColor="text1" w:themeTint="BF"/>
                                  <w:sz w:val="32"/>
                                  <w:szCs w:val="36"/>
                                </w:rPr>
                                <w:t>20</w:t>
                              </w:r>
                              <w:r w:rsidR="00DA1C6D"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A23F73">
            <w:rPr>
              <w:rFonts w:ascii="Arial" w:hAnsi="Arial" w:cs="Arial"/>
              <w:b/>
              <w:i/>
            </w:rPr>
            <w:br w:type="page"/>
          </w:r>
        </w:p>
      </w:sdtContent>
    </w:sdt>
    <w:p w14:paraId="2EC11DC2" w14:textId="10FCE9B5" w:rsidR="00DA1C6D" w:rsidRPr="00A23F73"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lastRenderedPageBreak/>
        <w:t>What is Vioxx and why was it withdrawn?</w:t>
      </w:r>
    </w:p>
    <w:p w14:paraId="24BE40FE" w14:textId="3DF52977" w:rsidR="00C8711B" w:rsidRPr="00A23F73" w:rsidRDefault="00C8711B" w:rsidP="00520E41">
      <w:pPr>
        <w:shd w:val="clear" w:color="auto" w:fill="FFFFFF"/>
        <w:spacing w:before="100" w:beforeAutospacing="1" w:after="100" w:afterAutospacing="1"/>
        <w:ind w:left="375"/>
        <w:rPr>
          <w:rFonts w:ascii="Arial" w:hAnsi="Arial" w:cs="Arial"/>
          <w:color w:val="2D3B45"/>
        </w:rPr>
      </w:pPr>
      <w:r w:rsidRPr="00A23F73">
        <w:rPr>
          <w:rFonts w:ascii="Arial" w:hAnsi="Arial" w:cs="Arial"/>
          <w:color w:val="2D3B45"/>
        </w:rPr>
        <w:t xml:space="preserve">Vioxx is the commercial name of nonsteroidal anti-inflammatory drug rofecoxib, which was approved by the Food and Drug Administration (FDA) in 1999 and widely promoted as a pain reliever </w:t>
      </w:r>
      <w:r w:rsidR="00191D9D">
        <w:rPr>
          <w:rFonts w:ascii="Arial" w:hAnsi="Arial" w:cs="Arial"/>
          <w:color w:val="2D3B45"/>
        </w:rPr>
        <w:fldChar w:fldCharType="begin"/>
      </w:r>
      <w:r w:rsidR="00191D9D">
        <w:rPr>
          <w:rFonts w:ascii="Arial" w:hAnsi="Arial" w:cs="Arial"/>
          <w:color w:val="2D3B45"/>
        </w:rPr>
        <w:instrText xml:space="preserve"> ADDIN EN.CITE &lt;EndNote&gt;&lt;Cite&gt;&lt;Author&gt;Findlay&lt;/Author&gt;&lt;Year&gt;2015&lt;/Year&gt;&lt;RecNum&gt;1&lt;/RecNum&gt;&lt;DisplayText&gt;(Findlay, 2015)&lt;/DisplayText&gt;&lt;record&gt;&lt;rec-number&gt;1&lt;/rec-number&gt;&lt;foreign-keys&gt;&lt;key app="EN" db-id="twaad2zfjsszzoe59dexvzxcp25sf52vf52v" timestamp="1578931481"&gt;1&lt;/key&gt;&lt;/foreign-keys&gt;&lt;ref-type name="Book"&gt;6&lt;/ref-type&gt;&lt;contributors&gt;&lt;authors&gt;&lt;author&gt;Findlay, Steven&lt;/author&gt;&lt;/authors&gt;&lt;/contributors&gt;&lt;titles&gt;&lt;title&gt;The FDA&amp;apos;s Sentinel Initiative&lt;/title&gt;&lt;/titles&gt;&lt;dates&gt;&lt;year&gt;2015&lt;/year&gt;&lt;/dates&gt;&lt;publisher&gt;Project HOPE&lt;/publisher&gt;&lt;urls&gt;&lt;/urls&gt;&lt;/record&gt;&lt;/Cite&gt;&lt;/EndNote&gt;</w:instrText>
      </w:r>
      <w:r w:rsidR="00191D9D">
        <w:rPr>
          <w:rFonts w:ascii="Arial" w:hAnsi="Arial" w:cs="Arial"/>
          <w:color w:val="2D3B45"/>
        </w:rPr>
        <w:fldChar w:fldCharType="separate"/>
      </w:r>
      <w:r w:rsidR="00191D9D">
        <w:rPr>
          <w:rFonts w:ascii="Arial" w:hAnsi="Arial" w:cs="Arial"/>
          <w:noProof/>
          <w:color w:val="2D3B45"/>
        </w:rPr>
        <w:t>(Findlay, 2015)</w:t>
      </w:r>
      <w:r w:rsidR="00191D9D">
        <w:rPr>
          <w:rFonts w:ascii="Arial" w:hAnsi="Arial" w:cs="Arial"/>
          <w:color w:val="2D3B45"/>
        </w:rPr>
        <w:fldChar w:fldCharType="end"/>
      </w:r>
      <w:r w:rsidRPr="00A23F73">
        <w:rPr>
          <w:rFonts w:ascii="Arial" w:hAnsi="Arial" w:cs="Arial"/>
          <w:color w:val="2D3B45"/>
        </w:rPr>
        <w:t>.</w:t>
      </w:r>
      <w:r w:rsidR="00520E41" w:rsidRPr="00A23F73">
        <w:rPr>
          <w:rFonts w:ascii="Arial" w:hAnsi="Arial" w:cs="Arial"/>
          <w:color w:val="2D3B45"/>
        </w:rPr>
        <w:t xml:space="preserve"> However, since then, </w:t>
      </w:r>
      <w:r w:rsidRPr="00A23F73">
        <w:rPr>
          <w:rFonts w:ascii="Arial" w:hAnsi="Arial" w:cs="Arial"/>
          <w:color w:val="2D3B45"/>
        </w:rPr>
        <w:t xml:space="preserve">studies and analyses confirmed that </w:t>
      </w:r>
      <w:r w:rsidR="00E93927" w:rsidRPr="00A23F73">
        <w:rPr>
          <w:rFonts w:ascii="Arial" w:hAnsi="Arial" w:cs="Arial"/>
          <w:color w:val="2D3B45"/>
        </w:rPr>
        <w:t>Vioxx</w:t>
      </w:r>
      <w:r w:rsidRPr="00A23F73">
        <w:rPr>
          <w:rFonts w:ascii="Arial" w:hAnsi="Arial" w:cs="Arial"/>
          <w:color w:val="2D3B45"/>
        </w:rPr>
        <w:t xml:space="preserve"> raised the </w:t>
      </w:r>
      <w:r w:rsidR="00E93927" w:rsidRPr="00A23F73">
        <w:rPr>
          <w:rFonts w:ascii="Arial" w:hAnsi="Arial" w:cs="Arial"/>
          <w:color w:val="2D3B45"/>
        </w:rPr>
        <w:t xml:space="preserve">risk of developing a confirmed adjudicated thrombotic cardiovascular event, including myocardial infarction, unstable angina, cardiac thrombus, etc., compared placebo </w:t>
      </w:r>
      <w:r w:rsidR="00191D9D">
        <w:rPr>
          <w:rFonts w:ascii="Arial" w:hAnsi="Arial" w:cs="Arial"/>
          <w:color w:val="2D3B45"/>
        </w:rPr>
        <w:fldChar w:fldCharType="begin"/>
      </w:r>
      <w:r w:rsidR="00F01FD3">
        <w:rPr>
          <w:rFonts w:ascii="Arial" w:hAnsi="Arial" w:cs="Arial"/>
          <w:color w:val="2D3B45"/>
        </w:rPr>
        <w:instrText xml:space="preserve"> ADDIN EN.CITE &lt;EndNote&gt;&lt;Cite&gt;&lt;Author&gt;Mukherjee&lt;/Author&gt;&lt;Year&gt;2001&lt;/Year&gt;&lt;RecNum&gt;3&lt;/RecNum&gt;&lt;DisplayText&gt;(Mukherjee, Nissen, &amp;amp; Topol, 2001; Ray et al., 2002)&lt;/DisplayText&gt;&lt;record&gt;&lt;rec-number&gt;3&lt;/rec-number&gt;&lt;foreign-keys&gt;&lt;key app="EN" db-id="twaad2zfjsszzoe59dexvzxcp25sf52vf52v" timestamp="1578931535"&gt;3&lt;/key&gt;&lt;/foreign-keys&gt;&lt;ref-type name="Journal Article"&gt;17&lt;/ref-type&gt;&lt;contributors&gt;&lt;authors&gt;&lt;author&gt;Mukherjee, Debabrata&lt;/author&gt;&lt;author&gt;Nissen, Steven E&lt;/author&gt;&lt;author&gt;Topol, Eric J&lt;/author&gt;&lt;/authors&gt;&lt;/contributors&gt;&lt;titles&gt;&lt;title&gt;Risk of cardiovascular events associated with selective COX-2 inhibitors&lt;/title&gt;&lt;secondary-title&gt;JAMA&lt;/secondary-title&gt;&lt;/titles&gt;&lt;periodical&gt;&lt;full-title&gt;JAMA&lt;/full-title&gt;&lt;/periodical&gt;&lt;pages&gt;954-959&lt;/pages&gt;&lt;volume&gt;286&lt;/volume&gt;&lt;number&gt;8&lt;/number&gt;&lt;dates&gt;&lt;year&gt;2001&lt;/year&gt;&lt;/dates&gt;&lt;isbn&gt;0098-7484&lt;/isbn&gt;&lt;urls&gt;&lt;/urls&gt;&lt;/record&gt;&lt;/Cite&gt;&lt;Cite&gt;&lt;Author&gt;Ray&lt;/Author&gt;&lt;Year&gt;2002&lt;/Year&gt;&lt;RecNum&gt;2&lt;/RecNum&gt;&lt;record&gt;&lt;rec-number&gt;2&lt;/rec-number&gt;&lt;foreign-keys&gt;&lt;key app="EN" db-id="twaad2zfjsszzoe59dexvzxcp25sf52vf52v" timestamp="1578931534"&gt;2&lt;/key&gt;&lt;/foreign-keys&gt;&lt;ref-type name="Journal Article"&gt;17&lt;/ref-type&gt;&lt;contributors&gt;&lt;authors&gt;&lt;author&gt;Ray, Wayne A&lt;/author&gt;&lt;author&gt;Stein, C Michael&lt;/author&gt;&lt;author&gt;Daugherty, James R&lt;/author&gt;&lt;author&gt;Hall, Kathi&lt;/author&gt;&lt;author&gt;Arbogast, Patrick G&lt;/author&gt;&lt;author&gt;Griffin, Marie R&lt;/author&gt;&lt;/authors&gt;&lt;/contributors&gt;&lt;titles&gt;&lt;title&gt;COX-2 selective non-steroidal anti-inflammatory drugs and risk of serious coronary heart disease&lt;/title&gt;&lt;secondary-title&gt;The Lancet&lt;/secondary-title&gt;&lt;/titles&gt;&lt;periodical&gt;&lt;full-title&gt;The Lancet&lt;/full-title&gt;&lt;/periodical&gt;&lt;pages&gt;1071-1073&lt;/pages&gt;&lt;volume&gt;360&lt;/volume&gt;&lt;number&gt;9339&lt;/number&gt;&lt;dates&gt;&lt;year&gt;2002&lt;/year&gt;&lt;/dates&gt;&lt;isbn&gt;0140-6736&lt;/isbn&gt;&lt;urls&gt;&lt;/urls&gt;&lt;/record&gt;&lt;/Cite&gt;&lt;/EndNote&gt;</w:instrText>
      </w:r>
      <w:r w:rsidR="00191D9D">
        <w:rPr>
          <w:rFonts w:ascii="Arial" w:hAnsi="Arial" w:cs="Arial"/>
          <w:color w:val="2D3B45"/>
        </w:rPr>
        <w:fldChar w:fldCharType="separate"/>
      </w:r>
      <w:r w:rsidR="00191D9D">
        <w:rPr>
          <w:rFonts w:ascii="Arial" w:hAnsi="Arial" w:cs="Arial"/>
          <w:noProof/>
          <w:color w:val="2D3B45"/>
        </w:rPr>
        <w:t>(Mukherjee, Nissen, &amp; Topol, 2001; Ray et al., 2002)</w:t>
      </w:r>
      <w:r w:rsidR="00191D9D">
        <w:rPr>
          <w:rFonts w:ascii="Arial" w:hAnsi="Arial" w:cs="Arial"/>
          <w:color w:val="2D3B45"/>
        </w:rPr>
        <w:fldChar w:fldCharType="end"/>
      </w:r>
      <w:r w:rsidR="00191D9D">
        <w:rPr>
          <w:rFonts w:ascii="Arial" w:hAnsi="Arial" w:cs="Arial"/>
          <w:color w:val="2D3B45"/>
        </w:rPr>
        <w:t>.</w:t>
      </w:r>
      <w:r w:rsidRPr="00A23F73">
        <w:rPr>
          <w:rFonts w:ascii="Arial" w:hAnsi="Arial" w:cs="Arial"/>
          <w:color w:val="2D3B45"/>
        </w:rPr>
        <w:t xml:space="preserve"> </w:t>
      </w:r>
      <w:r w:rsidR="00520E41" w:rsidRPr="00A23F73">
        <w:rPr>
          <w:rFonts w:ascii="Arial" w:hAnsi="Arial" w:cs="Arial"/>
          <w:color w:val="2D3B45"/>
        </w:rPr>
        <w:t xml:space="preserve">Thus, Vioxx was withdrawn from the market in </w:t>
      </w:r>
      <w:r w:rsidR="00191D9D">
        <w:rPr>
          <w:rFonts w:ascii="Arial" w:hAnsi="Arial" w:cs="Arial"/>
          <w:color w:val="2D3B45"/>
        </w:rPr>
        <w:t xml:space="preserve">2004 </w:t>
      </w:r>
      <w:r w:rsidR="00191D9D">
        <w:rPr>
          <w:rFonts w:ascii="Arial" w:hAnsi="Arial" w:cs="Arial"/>
          <w:color w:val="2D3B45"/>
        </w:rPr>
        <w:fldChar w:fldCharType="begin"/>
      </w:r>
      <w:r w:rsidR="00F01FD3">
        <w:rPr>
          <w:rFonts w:ascii="Arial" w:hAnsi="Arial" w:cs="Arial"/>
          <w:color w:val="2D3B45"/>
        </w:rPr>
        <w:instrText xml:space="preserve"> ADDIN EN.CITE &lt;EndNote&gt;&lt;Cite&gt;&lt;Author&gt;Martinez&lt;/Author&gt;&lt;Year&gt;2004&lt;/Year&gt;&lt;RecNum&gt;4&lt;/RecNum&gt;&lt;DisplayText&gt;(Martinez, Mathews, Lublin, &amp;amp; Winslow, 2004)&lt;/DisplayText&gt;&lt;record&gt;&lt;rec-number&gt;4&lt;/rec-number&gt;&lt;foreign-keys&gt;&lt;key app="EN" db-id="twaad2zfjsszzoe59dexvzxcp25sf52vf52v" timestamp="1578931588"&gt;4&lt;/key&gt;&lt;/foreign-keys&gt;&lt;ref-type name="Journal Article"&gt;17&lt;/ref-type&gt;&lt;contributors&gt;&lt;authors&gt;&lt;author&gt;Martinez, Barbara&lt;/author&gt;&lt;author&gt;Mathews, Anna Wilde&lt;/author&gt;&lt;author&gt;Lublin, Joann S&lt;/author&gt;&lt;author&gt;Winslow, Ron&lt;/author&gt;&lt;/authors&gt;&lt;/contributors&gt;&lt;titles&gt;&lt;title&gt;Merck pulls Vioxx from market after link to heart problems&lt;/title&gt;&lt;secondary-title&gt;Wall Street Journal&lt;/secondary-title&gt;&lt;/titles&gt;&lt;periodical&gt;&lt;full-title&gt;Wall Street Journal&lt;/full-title&gt;&lt;/periodical&gt;&lt;pages&gt;A1&lt;/pages&gt;&lt;dates&gt;&lt;year&gt;2004&lt;/year&gt;&lt;/dates&gt;&lt;urls&gt;&lt;/urls&gt;&lt;/record&gt;&lt;/Cite&gt;&lt;/EndNote&gt;</w:instrText>
      </w:r>
      <w:r w:rsidR="00191D9D">
        <w:rPr>
          <w:rFonts w:ascii="Arial" w:hAnsi="Arial" w:cs="Arial"/>
          <w:color w:val="2D3B45"/>
        </w:rPr>
        <w:fldChar w:fldCharType="separate"/>
      </w:r>
      <w:r w:rsidR="00191D9D">
        <w:rPr>
          <w:rFonts w:ascii="Arial" w:hAnsi="Arial" w:cs="Arial"/>
          <w:noProof/>
          <w:color w:val="2D3B45"/>
        </w:rPr>
        <w:t>(Martinez, Mathews, Lublin, &amp; Winslow, 2004)</w:t>
      </w:r>
      <w:r w:rsidR="00191D9D">
        <w:rPr>
          <w:rFonts w:ascii="Arial" w:hAnsi="Arial" w:cs="Arial"/>
          <w:color w:val="2D3B45"/>
        </w:rPr>
        <w:fldChar w:fldCharType="end"/>
      </w:r>
      <w:r w:rsidR="00191D9D">
        <w:rPr>
          <w:rFonts w:ascii="Arial" w:hAnsi="Arial" w:cs="Arial"/>
          <w:color w:val="2D3B45"/>
        </w:rPr>
        <w:t>.</w:t>
      </w:r>
      <w:r w:rsidR="00520E41" w:rsidRPr="00A23F73">
        <w:rPr>
          <w:rFonts w:ascii="Arial" w:hAnsi="Arial" w:cs="Arial"/>
          <w:color w:val="2D3B45"/>
        </w:rPr>
        <w:t xml:space="preserve"> </w:t>
      </w:r>
    </w:p>
    <w:p w14:paraId="73EEEAAD" w14:textId="67196B43" w:rsidR="00A23F73" w:rsidRPr="00A23F73" w:rsidRDefault="00DA1C6D" w:rsidP="00A23F73">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t>What types health care data would Vioxx researchers need to determine its effect on the risk of myocardial infarction?  Why? How did you get to this conclusion? How could this data be used to determine its effect on the risk of myocardial infarction?</w:t>
      </w:r>
    </w:p>
    <w:p w14:paraId="295857B0" w14:textId="7E70AF48" w:rsidR="00A23F73" w:rsidRPr="00A23F73" w:rsidRDefault="00987EDE" w:rsidP="00A23F73">
      <w:pPr>
        <w:ind w:left="360" w:firstLine="15"/>
        <w:rPr>
          <w:rFonts w:ascii="Arial" w:hAnsi="Arial" w:cs="Arial"/>
          <w:color w:val="2D3B45"/>
        </w:rPr>
      </w:pPr>
      <w:r w:rsidRPr="00A23F73">
        <w:rPr>
          <w:rFonts w:ascii="Helvetica Neue" w:hAnsi="Helvetica Neue"/>
          <w:color w:val="333333"/>
        </w:rPr>
        <w:t>To determine Vioxx’s effect on the</w:t>
      </w:r>
      <w:r w:rsidR="005A1A47" w:rsidRPr="00A23F73">
        <w:rPr>
          <w:rFonts w:ascii="Helvetica Neue" w:hAnsi="Helvetica Neue"/>
          <w:color w:val="333333"/>
        </w:rPr>
        <w:t xml:space="preserve"> risk of myocardial infarction</w:t>
      </w:r>
      <w:r w:rsidR="00437532" w:rsidRPr="00A23F73">
        <w:rPr>
          <w:rFonts w:ascii="Helvetica Neue" w:hAnsi="Helvetica Neue"/>
          <w:color w:val="333333"/>
        </w:rPr>
        <w:t xml:space="preserve"> (MI)</w:t>
      </w:r>
      <w:r w:rsidR="005A1A47" w:rsidRPr="00A23F73">
        <w:rPr>
          <w:rFonts w:ascii="Helvetica Neue" w:hAnsi="Helvetica Neue"/>
          <w:color w:val="333333"/>
        </w:rPr>
        <w:t xml:space="preserve">, </w:t>
      </w:r>
      <w:r w:rsidR="00A23F73" w:rsidRPr="00A23F73">
        <w:rPr>
          <w:rFonts w:ascii="Helvetica Neue" w:hAnsi="Helvetica Neue"/>
          <w:color w:val="333333"/>
        </w:rPr>
        <w:t xml:space="preserve">we will need to </w:t>
      </w:r>
      <w:r w:rsidR="001E3A9A">
        <w:rPr>
          <w:rFonts w:ascii="Helvetica Neue" w:hAnsi="Helvetica Neue"/>
          <w:color w:val="333333"/>
        </w:rPr>
        <w:t xml:space="preserve">perform </w:t>
      </w:r>
      <w:r w:rsidR="001E3A9A" w:rsidRPr="001E3A9A">
        <w:rPr>
          <w:rFonts w:ascii="Helvetica Neue" w:hAnsi="Helvetica Neue"/>
          <w:color w:val="333333"/>
        </w:rPr>
        <w:t>randomized controlled trial</w:t>
      </w:r>
      <w:r w:rsidR="001E3A9A">
        <w:rPr>
          <w:rFonts w:ascii="Helvetica Neue" w:hAnsi="Helvetica Neue"/>
          <w:color w:val="333333"/>
        </w:rPr>
        <w:t xml:space="preserve"> (RCT) to </w:t>
      </w:r>
      <w:r w:rsidR="00A23F73" w:rsidRPr="00A23F73">
        <w:rPr>
          <w:rFonts w:ascii="Helvetica Neue" w:hAnsi="Helvetica Neue"/>
          <w:color w:val="333333"/>
        </w:rPr>
        <w:t xml:space="preserve">compare the chance of developing MI using the patients that are treated with Vioxx, versus the patients that are treated with other </w:t>
      </w:r>
      <w:r w:rsidR="00A23F73" w:rsidRPr="00A23F73">
        <w:rPr>
          <w:rFonts w:ascii="Arial" w:hAnsi="Arial" w:cs="Arial"/>
          <w:color w:val="2D3B45"/>
        </w:rPr>
        <w:t xml:space="preserve">anti-inflammatory drugs. Two major points in this trial: (1). The number of patient should be large enough to statistically expose the potential risk. (2). This clinical trial needs to be performed as double-blind and randomized to ensure no subjective effect to the result. </w:t>
      </w:r>
    </w:p>
    <w:p w14:paraId="60E53A12" w14:textId="77777777" w:rsidR="00A23F73" w:rsidRPr="00A23F73" w:rsidRDefault="00A23F73" w:rsidP="00A23F73">
      <w:pPr>
        <w:ind w:left="360" w:firstLine="15"/>
        <w:rPr>
          <w:rFonts w:ascii="Arial" w:hAnsi="Arial" w:cs="Arial"/>
          <w:color w:val="2D3B45"/>
        </w:rPr>
      </w:pPr>
    </w:p>
    <w:p w14:paraId="5278DBC0" w14:textId="7FE76A39" w:rsidR="00DA1C6D" w:rsidRDefault="00A23F73" w:rsidP="00A23F73">
      <w:pPr>
        <w:ind w:left="360" w:firstLine="15"/>
        <w:rPr>
          <w:rFonts w:ascii="Arial" w:hAnsi="Arial" w:cs="Arial"/>
          <w:color w:val="2D3B45"/>
        </w:rPr>
      </w:pPr>
      <w:r w:rsidRPr="00A23F73">
        <w:rPr>
          <w:rFonts w:ascii="Helvetica Neue" w:hAnsi="Helvetica Neue"/>
          <w:color w:val="333333"/>
        </w:rPr>
        <w:t>I got such conclusion, as this conclusion is supported by actual randomized trials. R</w:t>
      </w:r>
      <w:r w:rsidR="00987EDE" w:rsidRPr="00A23F73">
        <w:rPr>
          <w:rFonts w:ascii="Helvetica Neue" w:hAnsi="Helvetica Neue"/>
          <w:color w:val="333333"/>
        </w:rPr>
        <w:t>esearchers performed several</w:t>
      </w:r>
      <w:r w:rsidR="00E93927" w:rsidRPr="00A23F73">
        <w:rPr>
          <w:rFonts w:ascii="Helvetica Neue" w:hAnsi="Helvetica Neue"/>
          <w:color w:val="333333"/>
        </w:rPr>
        <w:t xml:space="preserve"> </w:t>
      </w:r>
      <w:r w:rsidR="00437532" w:rsidRPr="00A23F73">
        <w:rPr>
          <w:rFonts w:ascii="Helvetica Neue" w:hAnsi="Helvetica Neue"/>
          <w:color w:val="333333"/>
        </w:rPr>
        <w:t xml:space="preserve">large-scale </w:t>
      </w:r>
      <w:r w:rsidR="00E93927" w:rsidRPr="00A23F73">
        <w:rPr>
          <w:rFonts w:ascii="Helvetica Neue" w:hAnsi="Helvetica Neue"/>
          <w:color w:val="333333"/>
        </w:rPr>
        <w:t>randomized trials</w:t>
      </w:r>
      <w:r w:rsidR="00437532" w:rsidRPr="00A23F73">
        <w:rPr>
          <w:rFonts w:ascii="Helvetica Neue" w:hAnsi="Helvetica Neue"/>
          <w:color w:val="333333"/>
        </w:rPr>
        <w:t xml:space="preserve">: the smaller ones include ~1000 patients, while the larger ones included ~9000 patients. Patients are given either Rofecoxib (the chemical name of Vioxx) </w:t>
      </w:r>
      <w:r w:rsidR="002F0069" w:rsidRPr="00A23F73">
        <w:rPr>
          <w:rFonts w:ascii="Helvetica Neue" w:hAnsi="Helvetica Neue"/>
          <w:color w:val="333333"/>
        </w:rPr>
        <w:t xml:space="preserve">versus </w:t>
      </w:r>
      <w:r w:rsidR="00437532" w:rsidRPr="00A23F73">
        <w:rPr>
          <w:rFonts w:ascii="Helvetica Neue" w:hAnsi="Helvetica Neue"/>
          <w:color w:val="333333"/>
        </w:rPr>
        <w:t>another kind of anti-inflammatory drug</w:t>
      </w:r>
      <w:r w:rsidR="002F0069" w:rsidRPr="00A23F73">
        <w:rPr>
          <w:rFonts w:ascii="Helvetica Neue" w:hAnsi="Helvetica Neue"/>
          <w:color w:val="333333"/>
        </w:rPr>
        <w:t xml:space="preserve">, or placebo </w:t>
      </w:r>
      <w:r w:rsidR="00437532" w:rsidRPr="00A23F73">
        <w:rPr>
          <w:rFonts w:ascii="Helvetica Neue" w:hAnsi="Helvetica Neue"/>
          <w:color w:val="333333"/>
        </w:rPr>
        <w:t xml:space="preserve">(negative control) over 12 months. The percentage of patients developed MI events in both </w:t>
      </w:r>
      <w:r w:rsidRPr="00A23F73">
        <w:rPr>
          <w:rFonts w:ascii="Helvetica Neue" w:hAnsi="Helvetica Neue"/>
          <w:color w:val="333333"/>
        </w:rPr>
        <w:t xml:space="preserve">patient </w:t>
      </w:r>
      <w:r w:rsidR="00437532" w:rsidRPr="00A23F73">
        <w:rPr>
          <w:rFonts w:ascii="Helvetica Neue" w:hAnsi="Helvetica Neue"/>
          <w:color w:val="333333"/>
        </w:rPr>
        <w:t>groups (i.e. treated with Rofecoxib or the control) is compared</w:t>
      </w:r>
      <w:r w:rsidRPr="00A23F73">
        <w:rPr>
          <w:rFonts w:ascii="Helvetica Neue" w:hAnsi="Helvetica Neue"/>
          <w:color w:val="333333"/>
        </w:rPr>
        <w:t xml:space="preserve"> against each other</w:t>
      </w:r>
      <w:r w:rsidR="00437532" w:rsidRPr="00A23F73">
        <w:rPr>
          <w:rFonts w:ascii="Helvetica Neue" w:hAnsi="Helvetica Neue"/>
          <w:color w:val="333333"/>
        </w:rPr>
        <w:t xml:space="preserve"> to determine the effect of Rofecoxib on the risk of myocardial infarction</w:t>
      </w:r>
      <w:r w:rsidR="000A2ACC" w:rsidRPr="00A23F73">
        <w:rPr>
          <w:rFonts w:ascii="Helvetica Neue" w:hAnsi="Helvetica Neue"/>
          <w:color w:val="333333"/>
        </w:rPr>
        <w:t xml:space="preserve"> </w:t>
      </w:r>
      <w:r w:rsidR="00191D9D">
        <w:rPr>
          <w:rFonts w:ascii="Helvetica Neue" w:hAnsi="Helvetica Neue"/>
          <w:color w:val="333333"/>
        </w:rPr>
        <w:fldChar w:fldCharType="begin"/>
      </w:r>
      <w:r w:rsidR="00F01FD3">
        <w:rPr>
          <w:rFonts w:ascii="Helvetica Neue" w:hAnsi="Helvetica Neue"/>
          <w:color w:val="333333"/>
        </w:rPr>
        <w:instrText xml:space="preserve"> ADDIN EN.CITE &lt;EndNote&gt;&lt;Cite&gt;&lt;Author&gt;Ray&lt;/Author&gt;&lt;Year&gt;2002&lt;/Year&gt;&lt;RecNum&gt;2&lt;/RecNum&gt;&lt;DisplayText&gt;(Mukherjee et al., 2001; Ray et al., 2002)&lt;/DisplayText&gt;&lt;record&gt;&lt;rec-number&gt;2&lt;/rec-number&gt;&lt;foreign-keys&gt;&lt;key app="EN" db-id="twaad2zfjsszzoe59dexvzxcp25sf52vf52v" timestamp="1578931534"&gt;2&lt;/key&gt;&lt;/foreign-keys&gt;&lt;ref-type name="Journal Article"&gt;17&lt;/ref-type&gt;&lt;contributors&gt;&lt;authors&gt;&lt;author&gt;Ray, Wayne A&lt;/author&gt;&lt;author&gt;Stein, C Michael&lt;/author&gt;&lt;author&gt;Daugherty, James R&lt;/author&gt;&lt;author&gt;Hall, Kathi&lt;/author&gt;&lt;author&gt;Arbogast, Patrick G&lt;/author&gt;&lt;author&gt;Griffin, Marie R&lt;/author&gt;&lt;/authors&gt;&lt;/contributors&gt;&lt;titles&gt;&lt;title&gt;COX-2 selective non-steroidal anti-inflammatory drugs and risk of serious coronary heart disease&lt;/title&gt;&lt;secondary-title&gt;The Lancet&lt;/secondary-title&gt;&lt;/titles&gt;&lt;periodical&gt;&lt;full-title&gt;The Lancet&lt;/full-title&gt;&lt;/periodical&gt;&lt;pages&gt;1071-1073&lt;/pages&gt;&lt;volume&gt;360&lt;/volume&gt;&lt;number&gt;9339&lt;/number&gt;&lt;dates&gt;&lt;year&gt;2002&lt;/year&gt;&lt;/dates&gt;&lt;isbn&gt;0140-6736&lt;/isbn&gt;&lt;urls&gt;&lt;/urls&gt;&lt;/record&gt;&lt;/Cite&gt;&lt;Cite&gt;&lt;Author&gt;Mukherjee&lt;/Author&gt;&lt;Year&gt;2001&lt;/Year&gt;&lt;RecNum&gt;3&lt;/RecNum&gt;&lt;record&gt;&lt;rec-number&gt;3&lt;/rec-number&gt;&lt;foreign-keys&gt;&lt;key app="EN" db-id="twaad2zfjsszzoe59dexvzxcp25sf52vf52v" timestamp="1578931535"&gt;3&lt;/key&gt;&lt;/foreign-keys&gt;&lt;ref-type name="Journal Article"&gt;17&lt;/ref-type&gt;&lt;contributors&gt;&lt;authors&gt;&lt;author&gt;Mukherjee, Debabrata&lt;/author&gt;&lt;author&gt;Nissen, Steven E&lt;/author&gt;&lt;author&gt;Topol, Eric J&lt;/author&gt;&lt;/authors&gt;&lt;/contributors&gt;&lt;titles&gt;&lt;title&gt;Risk of cardiovascular events associated with selective COX-2 inhibitors&lt;/title&gt;&lt;secondary-title&gt;JAMA&lt;/secondary-title&gt;&lt;/titles&gt;&lt;periodical&gt;&lt;full-title&gt;JAMA&lt;/full-title&gt;&lt;/periodical&gt;&lt;pages&gt;954-959&lt;/pages&gt;&lt;volume&gt;286&lt;/volume&gt;&lt;number&gt;8&lt;/number&gt;&lt;dates&gt;&lt;year&gt;2001&lt;/year&gt;&lt;/dates&gt;&lt;isbn&gt;0098-7484&lt;/isbn&gt;&lt;urls&gt;&lt;/urls&gt;&lt;/record&gt;&lt;/Cite&gt;&lt;/EndNote&gt;</w:instrText>
      </w:r>
      <w:r w:rsidR="00191D9D">
        <w:rPr>
          <w:rFonts w:ascii="Helvetica Neue" w:hAnsi="Helvetica Neue"/>
          <w:color w:val="333333"/>
        </w:rPr>
        <w:fldChar w:fldCharType="separate"/>
      </w:r>
      <w:r w:rsidR="00191D9D">
        <w:rPr>
          <w:rFonts w:ascii="Helvetica Neue" w:hAnsi="Helvetica Neue"/>
          <w:noProof/>
          <w:color w:val="333333"/>
        </w:rPr>
        <w:t>(Mukherjee et al., 2001; Ray et al., 2002)</w:t>
      </w:r>
      <w:r w:rsidR="00191D9D">
        <w:rPr>
          <w:rFonts w:ascii="Helvetica Neue" w:hAnsi="Helvetica Neue"/>
          <w:color w:val="333333"/>
        </w:rPr>
        <w:fldChar w:fldCharType="end"/>
      </w:r>
    </w:p>
    <w:p w14:paraId="330B2F49" w14:textId="77777777" w:rsidR="00A23F73" w:rsidRPr="00A23F73" w:rsidRDefault="00A23F73" w:rsidP="00A23F73">
      <w:pPr>
        <w:ind w:left="360" w:firstLine="15"/>
        <w:rPr>
          <w:rFonts w:ascii="Arial" w:hAnsi="Arial" w:cs="Arial"/>
          <w:color w:val="2D3B45"/>
        </w:rPr>
      </w:pPr>
    </w:p>
    <w:p w14:paraId="18CFAADE" w14:textId="257A23BC" w:rsidR="00DA1C6D" w:rsidRPr="00A23F73"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t xml:space="preserve">How could Vioxx researchers go about getting these data for a patient like JM? What are the barriers to getting this type of data (privacy, lack of data standards, </w:t>
      </w:r>
      <w:r w:rsidR="00DE7FF8" w:rsidRPr="00A23F73">
        <w:rPr>
          <w:rFonts w:ascii="Arial" w:hAnsi="Arial" w:cs="Arial"/>
          <w:b/>
          <w:bCs/>
          <w:color w:val="2D3B45"/>
        </w:rPr>
        <w:t>etc.</w:t>
      </w:r>
      <w:r w:rsidRPr="00A23F73">
        <w:rPr>
          <w:rFonts w:ascii="Arial" w:hAnsi="Arial" w:cs="Arial"/>
          <w:b/>
          <w:bCs/>
          <w:color w:val="2D3B45"/>
        </w:rPr>
        <w:t>)?</w:t>
      </w:r>
    </w:p>
    <w:p w14:paraId="1E0B4E61" w14:textId="35951C8E" w:rsidR="0005216E" w:rsidRDefault="00102DF6" w:rsidP="0005216E">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Back in early 2000s, the researchers performed clinical trials on Vioxx versus placebo by randomly assigning large </w:t>
      </w:r>
      <w:r w:rsidR="0005216E">
        <w:rPr>
          <w:rFonts w:ascii="Arial" w:hAnsi="Arial" w:cs="Arial"/>
          <w:color w:val="2D3B45"/>
        </w:rPr>
        <w:t>number</w:t>
      </w:r>
      <w:r>
        <w:rPr>
          <w:rFonts w:ascii="Arial" w:hAnsi="Arial" w:cs="Arial"/>
          <w:color w:val="2D3B45"/>
        </w:rPr>
        <w:t xml:space="preserve"> of patients that needs </w:t>
      </w:r>
      <w:r w:rsidR="0005216E">
        <w:rPr>
          <w:rFonts w:ascii="Arial" w:hAnsi="Arial" w:cs="Arial"/>
          <w:color w:val="2D3B45"/>
        </w:rPr>
        <w:t xml:space="preserve">long-term </w:t>
      </w:r>
      <w:r w:rsidRPr="00A23F73">
        <w:rPr>
          <w:rFonts w:ascii="Arial" w:hAnsi="Arial" w:cs="Arial"/>
          <w:color w:val="2D3B45"/>
        </w:rPr>
        <w:t xml:space="preserve">anti-inflammatory </w:t>
      </w:r>
      <w:r>
        <w:rPr>
          <w:rFonts w:ascii="Arial" w:hAnsi="Arial" w:cs="Arial"/>
          <w:color w:val="2D3B45"/>
        </w:rPr>
        <w:t>drug treatment</w:t>
      </w:r>
      <w:r w:rsidR="0005216E">
        <w:rPr>
          <w:rFonts w:ascii="Arial" w:hAnsi="Arial" w:cs="Arial"/>
          <w:color w:val="2D3B45"/>
        </w:rPr>
        <w:t xml:space="preserve"> (e.g. have</w:t>
      </w:r>
      <w:r w:rsidR="0005216E" w:rsidRPr="00102DF6">
        <w:rPr>
          <w:rFonts w:ascii="Arial" w:hAnsi="Arial" w:cs="Arial"/>
          <w:color w:val="2D3B45"/>
        </w:rPr>
        <w:t xml:space="preserve"> rheumatoid arthritis</w:t>
      </w:r>
      <w:r w:rsidR="0005216E">
        <w:rPr>
          <w:rFonts w:ascii="Arial" w:hAnsi="Arial" w:cs="Arial"/>
          <w:color w:val="2D3B45"/>
        </w:rPr>
        <w:t>)</w:t>
      </w:r>
      <w:r>
        <w:rPr>
          <w:rFonts w:ascii="Arial" w:hAnsi="Arial" w:cs="Arial"/>
          <w:color w:val="2D3B45"/>
        </w:rPr>
        <w:t xml:space="preserve"> and fit </w:t>
      </w:r>
      <w:r w:rsidR="0005216E">
        <w:rPr>
          <w:rFonts w:ascii="Arial" w:hAnsi="Arial" w:cs="Arial"/>
          <w:color w:val="2D3B45"/>
        </w:rPr>
        <w:t xml:space="preserve">certain </w:t>
      </w:r>
      <w:r>
        <w:rPr>
          <w:rFonts w:ascii="Arial" w:hAnsi="Arial" w:cs="Arial"/>
          <w:color w:val="2D3B45"/>
        </w:rPr>
        <w:t>health conditions (</w:t>
      </w:r>
      <w:r w:rsidR="0005216E">
        <w:rPr>
          <w:rFonts w:ascii="Arial" w:hAnsi="Arial" w:cs="Arial"/>
          <w:color w:val="2D3B45"/>
        </w:rPr>
        <w:t>e.g.</w:t>
      </w:r>
      <w:r>
        <w:rPr>
          <w:rFonts w:ascii="Arial" w:hAnsi="Arial" w:cs="Arial"/>
          <w:color w:val="2D3B45"/>
        </w:rPr>
        <w:t xml:space="preserve"> </w:t>
      </w:r>
      <w:r w:rsidRPr="00102DF6">
        <w:rPr>
          <w:rFonts w:ascii="Arial" w:hAnsi="Arial" w:cs="Arial"/>
          <w:color w:val="2D3B45"/>
        </w:rPr>
        <w:t>at least 50 years of age</w:t>
      </w:r>
      <w:r>
        <w:rPr>
          <w:rFonts w:ascii="Arial" w:hAnsi="Arial" w:cs="Arial"/>
          <w:color w:val="2D3B45"/>
        </w:rPr>
        <w:t xml:space="preserve">, </w:t>
      </w:r>
      <w:r w:rsidR="0005216E">
        <w:rPr>
          <w:rFonts w:ascii="Arial" w:hAnsi="Arial" w:cs="Arial"/>
          <w:color w:val="2D3B45"/>
        </w:rPr>
        <w:t>etc.</w:t>
      </w:r>
      <w:r>
        <w:rPr>
          <w:rFonts w:ascii="Arial" w:hAnsi="Arial" w:cs="Arial"/>
          <w:color w:val="2D3B45"/>
        </w:rPr>
        <w:t xml:space="preserve">) to receive either Vioxx, or another kind of </w:t>
      </w:r>
      <w:r w:rsidRPr="00A23F73">
        <w:rPr>
          <w:rFonts w:ascii="Arial" w:hAnsi="Arial" w:cs="Arial"/>
          <w:color w:val="2D3B45"/>
        </w:rPr>
        <w:t xml:space="preserve">anti-inflammatory </w:t>
      </w:r>
      <w:r>
        <w:rPr>
          <w:rFonts w:ascii="Arial" w:hAnsi="Arial" w:cs="Arial"/>
          <w:color w:val="2D3B45"/>
        </w:rPr>
        <w:t>drug</w:t>
      </w:r>
      <w:r w:rsidR="0005216E">
        <w:rPr>
          <w:rFonts w:ascii="Arial" w:hAnsi="Arial" w:cs="Arial"/>
          <w:color w:val="2D3B45"/>
        </w:rPr>
        <w:t xml:space="preserve"> every day</w:t>
      </w:r>
      <w:r>
        <w:rPr>
          <w:rFonts w:ascii="Arial" w:hAnsi="Arial" w:cs="Arial"/>
          <w:color w:val="2D3B45"/>
        </w:rPr>
        <w:t xml:space="preserve">. </w:t>
      </w:r>
      <w:r w:rsidR="0005216E">
        <w:rPr>
          <w:rFonts w:ascii="Arial" w:hAnsi="Arial" w:cs="Arial"/>
          <w:color w:val="2D3B45"/>
        </w:rPr>
        <w:t>In the next 12 months, the number of p</w:t>
      </w:r>
      <w:r w:rsidR="0005216E" w:rsidRPr="0005216E">
        <w:rPr>
          <w:rFonts w:ascii="Arial" w:hAnsi="Arial" w:cs="Arial"/>
          <w:color w:val="2D3B45"/>
        </w:rPr>
        <w:t>atients who had potential clinical events</w:t>
      </w:r>
      <w:r w:rsidR="0005216E">
        <w:rPr>
          <w:rFonts w:ascii="Arial" w:hAnsi="Arial" w:cs="Arial"/>
          <w:color w:val="2D3B45"/>
        </w:rPr>
        <w:t xml:space="preserve"> that is associated with Vioxx </w:t>
      </w:r>
      <w:r w:rsidR="0005216E" w:rsidRPr="0005216E">
        <w:rPr>
          <w:rFonts w:ascii="Arial" w:hAnsi="Arial" w:cs="Arial"/>
          <w:color w:val="2D3B45"/>
        </w:rPr>
        <w:t>were evaluated</w:t>
      </w:r>
      <w:r w:rsidR="0005216E">
        <w:rPr>
          <w:rFonts w:ascii="Arial" w:hAnsi="Arial" w:cs="Arial"/>
          <w:color w:val="2D3B45"/>
        </w:rPr>
        <w:t xml:space="preserve">, and thus included in the statistical analysis </w:t>
      </w:r>
      <w:r w:rsidR="00191D9D">
        <w:rPr>
          <w:rFonts w:ascii="Arial" w:hAnsi="Arial" w:cs="Arial"/>
          <w:color w:val="2D3B45"/>
        </w:rPr>
        <w:fldChar w:fldCharType="begin"/>
      </w:r>
      <w:r w:rsidR="000E4564">
        <w:rPr>
          <w:rFonts w:ascii="Arial" w:hAnsi="Arial" w:cs="Arial"/>
          <w:color w:val="2D3B45"/>
        </w:rPr>
        <w:instrText xml:space="preserve"> ADDIN EN.CITE &lt;EndNote&gt;&lt;Cite&gt;&lt;Author&gt;Bombardier&lt;/Author&gt;&lt;Year&gt;2000&lt;/Year&gt;&lt;RecNum&gt;5&lt;/RecNum&gt;&lt;DisplayText&gt;(Bombardier et al., 2000)&lt;/DisplayText&gt;&lt;record&gt;&lt;rec-number&gt;5&lt;/rec-number&gt;&lt;foreign-keys&gt;&lt;key app="EN" db-id="twaad2zfjsszzoe59dexvzxcp25sf52vf52v" timestamp="1578931677"&gt;5&lt;/key&gt;&lt;/foreign-keys&gt;&lt;ref-type name="Journal Article"&gt;17&lt;/ref-type&gt;&lt;contributors&gt;&lt;authors&gt;&lt;author&gt;Bombardier, Claire&lt;/author&gt;&lt;author&gt;Laine, Loren&lt;/author&gt;&lt;author&gt;Reicin, Alise&lt;/author&gt;&lt;author&gt;Shapiro, Deborah&lt;/author&gt;&lt;author&gt;Burgos-Vargas, Ruben&lt;/author&gt;&lt;author&gt;Davis, Barry&lt;/author&gt;&lt;author&gt;Day, Richard&lt;/author&gt;&lt;author&gt;Ferraz, Marcos Bosi&lt;/author&gt;&lt;author&gt;Hawkey, Christopher J&lt;/author&gt;&lt;author&gt;Hochberg, Marc C &lt;/author&gt;&lt;/authors&gt;&lt;/contributors&gt;&lt;titles&gt;&lt;title&gt;Comparison of upper gastrointestinal toxicity of rofecoxib and naproxen in patients with rheumatoid arthritis&lt;/title&gt;&lt;secondary-title&gt;New England Journal of Medicine&lt;/secondary-title&gt;&lt;/titles&gt;&lt;periodical&gt;&lt;full-title&gt;New England Journal of Medicine&lt;/full-title&gt;&lt;/periodical&gt;&lt;pages&gt;1520-1528&lt;/pages&gt;&lt;volume&gt;343&lt;/volume&gt;&lt;number&gt;21&lt;/number&gt;&lt;dates&gt;&lt;year&gt;2000&lt;/year&gt;&lt;/dates&gt;&lt;isbn&gt;0028-4793&lt;/isbn&gt;&lt;urls&gt;&lt;/urls&gt;&lt;/record&gt;&lt;/Cite&gt;&lt;/EndNote&gt;</w:instrText>
      </w:r>
      <w:r w:rsidR="00191D9D">
        <w:rPr>
          <w:rFonts w:ascii="Arial" w:hAnsi="Arial" w:cs="Arial"/>
          <w:color w:val="2D3B45"/>
        </w:rPr>
        <w:fldChar w:fldCharType="separate"/>
      </w:r>
      <w:r w:rsidR="00191D9D">
        <w:rPr>
          <w:rFonts w:ascii="Arial" w:hAnsi="Arial" w:cs="Arial"/>
          <w:noProof/>
          <w:color w:val="2D3B45"/>
        </w:rPr>
        <w:t>(Bombardier et al., 2000)</w:t>
      </w:r>
      <w:r w:rsidR="00191D9D">
        <w:rPr>
          <w:rFonts w:ascii="Arial" w:hAnsi="Arial" w:cs="Arial"/>
          <w:color w:val="2D3B45"/>
        </w:rPr>
        <w:fldChar w:fldCharType="end"/>
      </w:r>
      <w:r w:rsidR="00191D9D">
        <w:rPr>
          <w:rFonts w:ascii="Arial" w:hAnsi="Arial" w:cs="Arial"/>
          <w:color w:val="2D3B45"/>
        </w:rPr>
        <w:t xml:space="preserve">. </w:t>
      </w:r>
    </w:p>
    <w:p w14:paraId="4C6E31C5" w14:textId="652EBFD3" w:rsidR="00E27D84" w:rsidRDefault="00E27D84" w:rsidP="00E27D84">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There are several barriers for researchers to perform similar drug-based clinical data and get similar data. First, such clinical study will need to be approved by an </w:t>
      </w:r>
      <w:r w:rsidRPr="00E27D84">
        <w:rPr>
          <w:rFonts w:ascii="Arial" w:hAnsi="Arial" w:cs="Arial"/>
          <w:color w:val="2D3B45"/>
        </w:rPr>
        <w:lastRenderedPageBreak/>
        <w:t>institutional review board or ethics review committee at</w:t>
      </w:r>
      <w:r>
        <w:rPr>
          <w:rFonts w:ascii="Arial" w:hAnsi="Arial" w:cs="Arial"/>
          <w:color w:val="2D3B45"/>
        </w:rPr>
        <w:t xml:space="preserve"> each participating clinical centers. For example, in the Vioxx clinical study mentioned above, the study</w:t>
      </w:r>
      <w:r w:rsidRPr="00E27D84">
        <w:rPr>
          <w:rFonts w:ascii="Arial" w:hAnsi="Arial" w:cs="Arial"/>
          <w:color w:val="2D3B45"/>
        </w:rPr>
        <w:t xml:space="preserve"> was conducted at 301 </w:t>
      </w:r>
      <w:r>
        <w:rPr>
          <w:rFonts w:ascii="Arial" w:hAnsi="Arial" w:cs="Arial"/>
          <w:color w:val="2D3B45"/>
        </w:rPr>
        <w:t xml:space="preserve">clinical </w:t>
      </w:r>
      <w:r w:rsidRPr="00E27D84">
        <w:rPr>
          <w:rFonts w:ascii="Arial" w:hAnsi="Arial" w:cs="Arial"/>
          <w:color w:val="2D3B45"/>
        </w:rPr>
        <w:t>centers in 22 countries</w:t>
      </w:r>
      <w:r>
        <w:rPr>
          <w:rFonts w:ascii="Arial" w:hAnsi="Arial" w:cs="Arial"/>
          <w:color w:val="2D3B45"/>
        </w:rPr>
        <w:t xml:space="preserve"> </w:t>
      </w:r>
      <w:r w:rsidR="00191D9D">
        <w:rPr>
          <w:rFonts w:ascii="Arial" w:hAnsi="Arial" w:cs="Arial"/>
          <w:color w:val="2D3B45"/>
        </w:rPr>
        <w:fldChar w:fldCharType="begin"/>
      </w:r>
      <w:r w:rsidR="000E4564">
        <w:rPr>
          <w:rFonts w:ascii="Arial" w:hAnsi="Arial" w:cs="Arial"/>
          <w:color w:val="2D3B45"/>
        </w:rPr>
        <w:instrText xml:space="preserve"> ADDIN EN.CITE &lt;EndNote&gt;&lt;Cite&gt;&lt;Author&gt;Bombardier&lt;/Author&gt;&lt;Year&gt;2000&lt;/Year&gt;&lt;RecNum&gt;5&lt;/RecNum&gt;&lt;DisplayText&gt;(Bombardier et al., 2000)&lt;/DisplayText&gt;&lt;record&gt;&lt;rec-number&gt;5&lt;/rec-number&gt;&lt;foreign-keys&gt;&lt;key app="EN" db-id="twaad2zfjsszzoe59dexvzxcp25sf52vf52v" timestamp="1578931677"&gt;5&lt;/key&gt;&lt;/foreign-keys&gt;&lt;ref-type name="Journal Article"&gt;17&lt;/ref-type&gt;&lt;contributors&gt;&lt;authors&gt;&lt;author&gt;Bombardier, Claire&lt;/author&gt;&lt;author&gt;Laine, Loren&lt;/author&gt;&lt;author&gt;Reicin, Alise&lt;/author&gt;&lt;author&gt;Shapiro, Deborah&lt;/author&gt;&lt;author&gt;Burgos-Vargas, Ruben&lt;/author&gt;&lt;author&gt;Davis, Barry&lt;/author&gt;&lt;author&gt;Day, Richard&lt;/author&gt;&lt;author&gt;Ferraz, Marcos Bosi&lt;/author&gt;&lt;author&gt;Hawkey, Christopher J&lt;/author&gt;&lt;author&gt;Hochberg, Marc C &lt;/author&gt;&lt;/authors&gt;&lt;/contributors&gt;&lt;titles&gt;&lt;title&gt;Comparison of upper gastrointestinal toxicity of rofecoxib and naproxen in patients with rheumatoid arthritis&lt;/title&gt;&lt;secondary-title&gt;New England Journal of Medicine&lt;/secondary-title&gt;&lt;/titles&gt;&lt;periodical&gt;&lt;full-title&gt;New England Journal of Medicine&lt;/full-title&gt;&lt;/periodical&gt;&lt;pages&gt;1520-1528&lt;/pages&gt;&lt;volume&gt;343&lt;/volume&gt;&lt;number&gt;21&lt;/number&gt;&lt;dates&gt;&lt;year&gt;2000&lt;/year&gt;&lt;/dates&gt;&lt;isbn&gt;0028-4793&lt;/isbn&gt;&lt;urls&gt;&lt;/urls&gt;&lt;/record&gt;&lt;/Cite&gt;&lt;/EndNote&gt;</w:instrText>
      </w:r>
      <w:r w:rsidR="00191D9D">
        <w:rPr>
          <w:rFonts w:ascii="Arial" w:hAnsi="Arial" w:cs="Arial"/>
          <w:color w:val="2D3B45"/>
        </w:rPr>
        <w:fldChar w:fldCharType="separate"/>
      </w:r>
      <w:r w:rsidR="00191D9D">
        <w:rPr>
          <w:rFonts w:ascii="Arial" w:hAnsi="Arial" w:cs="Arial"/>
          <w:noProof/>
          <w:color w:val="2D3B45"/>
        </w:rPr>
        <w:t>(Bombardier et al., 2000)</w:t>
      </w:r>
      <w:r w:rsidR="00191D9D">
        <w:rPr>
          <w:rFonts w:ascii="Arial" w:hAnsi="Arial" w:cs="Arial"/>
          <w:color w:val="2D3B45"/>
        </w:rPr>
        <w:fldChar w:fldCharType="end"/>
      </w:r>
      <w:r w:rsidR="00191D9D">
        <w:rPr>
          <w:rFonts w:ascii="Arial" w:hAnsi="Arial" w:cs="Arial"/>
          <w:color w:val="2D3B45"/>
        </w:rPr>
        <w:t>. T</w:t>
      </w:r>
      <w:r>
        <w:rPr>
          <w:rFonts w:ascii="Arial" w:hAnsi="Arial" w:cs="Arial"/>
          <w:color w:val="2D3B45"/>
        </w:rPr>
        <w:t xml:space="preserve">hus, performing revision on the clinical study in all participating centers requires heavy administrative work loads. </w:t>
      </w:r>
    </w:p>
    <w:p w14:paraId="09D1370F" w14:textId="0D963534" w:rsidR="00E27D84" w:rsidRDefault="00EA5545" w:rsidP="00E27D84">
      <w:pPr>
        <w:shd w:val="clear" w:color="auto" w:fill="FFFFFF"/>
        <w:spacing w:before="100" w:beforeAutospacing="1" w:after="100" w:afterAutospacing="1"/>
        <w:ind w:left="375"/>
        <w:rPr>
          <w:rFonts w:ascii="Arial" w:hAnsi="Arial" w:cs="Arial"/>
          <w:color w:val="2D3B45"/>
        </w:rPr>
      </w:pPr>
      <w:r>
        <w:rPr>
          <w:rFonts w:ascii="Arial" w:hAnsi="Arial" w:cs="Arial"/>
          <w:color w:val="2D3B45"/>
        </w:rPr>
        <w:t>Secondly</w:t>
      </w:r>
      <w:r w:rsidR="00E27D84">
        <w:rPr>
          <w:rFonts w:ascii="Arial" w:hAnsi="Arial" w:cs="Arial"/>
          <w:color w:val="2D3B45"/>
        </w:rPr>
        <w:t xml:space="preserve">, performing such clinical trial need to </w:t>
      </w:r>
      <w:r>
        <w:rPr>
          <w:rFonts w:ascii="Arial" w:hAnsi="Arial" w:cs="Arial"/>
          <w:color w:val="2D3B45"/>
        </w:rPr>
        <w:t>prescribe a large</w:t>
      </w:r>
      <w:r w:rsidR="00E27D84">
        <w:rPr>
          <w:rFonts w:ascii="Arial" w:hAnsi="Arial" w:cs="Arial"/>
          <w:color w:val="2D3B45"/>
        </w:rPr>
        <w:t xml:space="preserve"> number of </w:t>
      </w:r>
      <w:r>
        <w:rPr>
          <w:rFonts w:ascii="Arial" w:hAnsi="Arial" w:cs="Arial"/>
          <w:color w:val="2D3B45"/>
        </w:rPr>
        <w:t>treatments</w:t>
      </w:r>
      <w:r w:rsidR="00E27D84">
        <w:rPr>
          <w:rFonts w:ascii="Arial" w:hAnsi="Arial" w:cs="Arial"/>
          <w:color w:val="2D3B45"/>
        </w:rPr>
        <w:t xml:space="preserve">. As we have discussed above, a large Vioxx study included ~9000 patients to participate. </w:t>
      </w:r>
      <w:r w:rsidR="001E3A9A">
        <w:rPr>
          <w:rFonts w:ascii="Arial" w:hAnsi="Arial" w:cs="Arial"/>
          <w:color w:val="2D3B45"/>
        </w:rPr>
        <w:t>This</w:t>
      </w:r>
      <w:r w:rsidR="00E27D84">
        <w:rPr>
          <w:rFonts w:ascii="Arial" w:hAnsi="Arial" w:cs="Arial"/>
          <w:color w:val="2D3B45"/>
        </w:rPr>
        <w:t xml:space="preserve"> clinical study </w:t>
      </w:r>
      <w:r w:rsidR="001E3A9A">
        <w:rPr>
          <w:rFonts w:ascii="Arial" w:hAnsi="Arial" w:cs="Arial"/>
          <w:color w:val="2D3B45"/>
        </w:rPr>
        <w:t>is feasible</w:t>
      </w:r>
      <w:r w:rsidR="00E27D84">
        <w:rPr>
          <w:rFonts w:ascii="Arial" w:hAnsi="Arial" w:cs="Arial"/>
          <w:color w:val="2D3B45"/>
        </w:rPr>
        <w:t xml:space="preserve"> for </w:t>
      </w:r>
      <w:r w:rsidR="001E3A9A">
        <w:rPr>
          <w:rFonts w:ascii="Arial" w:hAnsi="Arial" w:cs="Arial"/>
          <w:color w:val="2D3B45"/>
        </w:rPr>
        <w:t xml:space="preserve">Vioxx, </w:t>
      </w:r>
      <w:r w:rsidR="00E27D84">
        <w:rPr>
          <w:rFonts w:ascii="Arial" w:hAnsi="Arial" w:cs="Arial"/>
          <w:color w:val="2D3B45"/>
        </w:rPr>
        <w:t>an in-expensive drug</w:t>
      </w:r>
      <w:r w:rsidR="001E3A9A">
        <w:rPr>
          <w:rFonts w:ascii="Arial" w:hAnsi="Arial" w:cs="Arial"/>
          <w:color w:val="2D3B45"/>
        </w:rPr>
        <w:t xml:space="preserve">, as a daily dose of 50 mg </w:t>
      </w:r>
      <w:r w:rsidR="00191D9D">
        <w:rPr>
          <w:rFonts w:ascii="Arial" w:hAnsi="Arial" w:cs="Arial"/>
          <w:color w:val="2D3B45"/>
        </w:rPr>
        <w:fldChar w:fldCharType="begin"/>
      </w:r>
      <w:r w:rsidR="000E4564">
        <w:rPr>
          <w:rFonts w:ascii="Arial" w:hAnsi="Arial" w:cs="Arial"/>
          <w:color w:val="2D3B45"/>
        </w:rPr>
        <w:instrText xml:space="preserve"> ADDIN EN.CITE &lt;EndNote&gt;&lt;Cite&gt;&lt;Author&gt;Bombardier&lt;/Author&gt;&lt;Year&gt;2000&lt;/Year&gt;&lt;RecNum&gt;5&lt;/RecNum&gt;&lt;DisplayText&gt;(Bombardier et al., 2000)&lt;/DisplayText&gt;&lt;record&gt;&lt;rec-number&gt;5&lt;/rec-number&gt;&lt;foreign-keys&gt;&lt;key app="EN" db-id="twaad2zfjsszzoe59dexvzxcp25sf52vf52v" timestamp="1578931677"&gt;5&lt;/key&gt;&lt;/foreign-keys&gt;&lt;ref-type name="Journal Article"&gt;17&lt;/ref-type&gt;&lt;contributors&gt;&lt;authors&gt;&lt;author&gt;Bombardier, Claire&lt;/author&gt;&lt;author&gt;Laine, Loren&lt;/author&gt;&lt;author&gt;Reicin, Alise&lt;/author&gt;&lt;author&gt;Shapiro, Deborah&lt;/author&gt;&lt;author&gt;Burgos-Vargas, Ruben&lt;/author&gt;&lt;author&gt;Davis, Barry&lt;/author&gt;&lt;author&gt;Day, Richard&lt;/author&gt;&lt;author&gt;Ferraz, Marcos Bosi&lt;/author&gt;&lt;author&gt;Hawkey, Christopher J&lt;/author&gt;&lt;author&gt;Hochberg, Marc C &lt;/author&gt;&lt;/authors&gt;&lt;/contributors&gt;&lt;titles&gt;&lt;title&gt;Comparison of upper gastrointestinal toxicity of rofecoxib and naproxen in patients with rheumatoid arthritis&lt;/title&gt;&lt;secondary-title&gt;New England Journal of Medicine&lt;/secondary-title&gt;&lt;/titles&gt;&lt;periodical&gt;&lt;full-title&gt;New England Journal of Medicine&lt;/full-title&gt;&lt;/periodical&gt;&lt;pages&gt;1520-1528&lt;/pages&gt;&lt;volume&gt;343&lt;/volume&gt;&lt;number&gt;21&lt;/number&gt;&lt;dates&gt;&lt;year&gt;2000&lt;/year&gt;&lt;/dates&gt;&lt;isbn&gt;0028-4793&lt;/isbn&gt;&lt;urls&gt;&lt;/urls&gt;&lt;/record&gt;&lt;/Cite&gt;&lt;/EndNote&gt;</w:instrText>
      </w:r>
      <w:r w:rsidR="00191D9D">
        <w:rPr>
          <w:rFonts w:ascii="Arial" w:hAnsi="Arial" w:cs="Arial"/>
          <w:color w:val="2D3B45"/>
        </w:rPr>
        <w:fldChar w:fldCharType="separate"/>
      </w:r>
      <w:r w:rsidR="00191D9D">
        <w:rPr>
          <w:rFonts w:ascii="Arial" w:hAnsi="Arial" w:cs="Arial"/>
          <w:noProof/>
          <w:color w:val="2D3B45"/>
        </w:rPr>
        <w:t>(Bombardier et al., 2000)</w:t>
      </w:r>
      <w:r w:rsidR="00191D9D">
        <w:rPr>
          <w:rFonts w:ascii="Arial" w:hAnsi="Arial" w:cs="Arial"/>
          <w:color w:val="2D3B45"/>
        </w:rPr>
        <w:fldChar w:fldCharType="end"/>
      </w:r>
      <w:r w:rsidR="00191D9D">
        <w:rPr>
          <w:rFonts w:ascii="Arial" w:hAnsi="Arial" w:cs="Arial"/>
          <w:color w:val="2D3B45"/>
        </w:rPr>
        <w:t xml:space="preserve"> t</w:t>
      </w:r>
      <w:r w:rsidR="001E3A9A">
        <w:rPr>
          <w:rFonts w:ascii="Arial" w:hAnsi="Arial" w:cs="Arial"/>
          <w:color w:val="2D3B45"/>
        </w:rPr>
        <w:t>ablet of Vioxx costs $3.07 in the year of 2000</w:t>
      </w:r>
      <w:r w:rsidR="00191D9D">
        <w:rPr>
          <w:rFonts w:ascii="Arial" w:hAnsi="Arial" w:cs="Arial"/>
          <w:color w:val="2D3B45"/>
        </w:rPr>
        <w:t xml:space="preserve"> </w:t>
      </w:r>
      <w:r w:rsidR="00191D9D">
        <w:rPr>
          <w:rFonts w:ascii="Arial" w:hAnsi="Arial" w:cs="Arial"/>
          <w:color w:val="2D3B45"/>
        </w:rPr>
        <w:fldChar w:fldCharType="begin"/>
      </w:r>
      <w:r w:rsidR="00191D9D">
        <w:rPr>
          <w:rFonts w:ascii="Arial" w:hAnsi="Arial" w:cs="Arial"/>
          <w:color w:val="2D3B45"/>
        </w:rPr>
        <w:instrText xml:space="preserve"> ADDIN EN.CITE &lt;EndNote&gt;&lt;Cite&gt;&lt;Year&gt;2000&lt;/Year&gt;&lt;RecNum&gt;6&lt;/RecNum&gt;&lt;DisplayText&gt;(&amp;quot;Vioxx price increase,&amp;quot; 2000)&lt;/DisplayText&gt;&lt;record&gt;&lt;rec-number&gt;6&lt;/rec-number&gt;&lt;foreign-keys&gt;&lt;key app="EN" db-id="twaad2zfjsszzoe59dexvzxcp25sf52vf52v" timestamp="1578931954"&gt;6&lt;/key&gt;&lt;/foreign-keys&gt;&lt;ref-type name="Web Page"&gt;12&lt;/ref-type&gt;&lt;contributors&gt;&lt;/contributors&gt;&lt;titles&gt;&lt;title&gt;Vioxx price increase&lt;/title&gt;&lt;/titles&gt;&lt;dates&gt;&lt;year&gt;2000&lt;/year&gt;&lt;/dates&gt;&lt;urls&gt;&lt;related-urls&gt;&lt;url&gt;https://pink.pharmaintelligence.informa.com/PS036997/Vioxx-price-increase&lt;/url&gt;&lt;/related-urls&gt;&lt;/urls&gt;&lt;/record&gt;&lt;/Cite&gt;&lt;/EndNote&gt;</w:instrText>
      </w:r>
      <w:r w:rsidR="00191D9D">
        <w:rPr>
          <w:rFonts w:ascii="Arial" w:hAnsi="Arial" w:cs="Arial"/>
          <w:color w:val="2D3B45"/>
        </w:rPr>
        <w:fldChar w:fldCharType="separate"/>
      </w:r>
      <w:r w:rsidR="00191D9D">
        <w:rPr>
          <w:rFonts w:ascii="Arial" w:hAnsi="Arial" w:cs="Arial"/>
          <w:noProof/>
          <w:color w:val="2D3B45"/>
        </w:rPr>
        <w:t>("Vioxx price increase," 2000)</w:t>
      </w:r>
      <w:r w:rsidR="00191D9D">
        <w:rPr>
          <w:rFonts w:ascii="Arial" w:hAnsi="Arial" w:cs="Arial"/>
          <w:color w:val="2D3B45"/>
        </w:rPr>
        <w:fldChar w:fldCharType="end"/>
      </w:r>
      <w:r w:rsidR="001E3A9A">
        <w:rPr>
          <w:rFonts w:ascii="Arial" w:hAnsi="Arial" w:cs="Arial"/>
          <w:color w:val="2D3B45"/>
        </w:rPr>
        <w:t>. However,</w:t>
      </w:r>
      <w:r w:rsidR="00E27D84">
        <w:rPr>
          <w:rFonts w:ascii="Arial" w:hAnsi="Arial" w:cs="Arial"/>
          <w:color w:val="2D3B45"/>
        </w:rPr>
        <w:t xml:space="preserve"> the financial expense for clinical studies on a more expensive drug</w:t>
      </w:r>
      <w:r>
        <w:rPr>
          <w:rFonts w:ascii="Arial" w:hAnsi="Arial" w:cs="Arial"/>
          <w:color w:val="2D3B45"/>
        </w:rPr>
        <w:t xml:space="preserve"> will increase dramatically. </w:t>
      </w:r>
    </w:p>
    <w:p w14:paraId="3AF72932" w14:textId="3CD50DF7" w:rsidR="00EA5545" w:rsidRDefault="00EA5545" w:rsidP="00EA5545">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Furthermore, performing such clinical trial need to collect data from a large number of patients. Similarly, the Vioxx clinical study is capable to involve ~9000 patients, is because that Vioxx is used to perform a common medical treatment such as </w:t>
      </w:r>
      <w:r w:rsidRPr="00A23F73">
        <w:rPr>
          <w:rFonts w:ascii="Arial" w:hAnsi="Arial" w:cs="Arial"/>
          <w:color w:val="2D3B45"/>
        </w:rPr>
        <w:t>anti-inflammatory</w:t>
      </w:r>
      <w:r>
        <w:rPr>
          <w:rFonts w:ascii="Arial" w:hAnsi="Arial" w:cs="Arial"/>
          <w:color w:val="2D3B45"/>
        </w:rPr>
        <w:t xml:space="preserve">. For a drug that is used for a rarer treatment, performing similar clinical study will be much harder.  In such scenario, </w:t>
      </w:r>
      <w:r w:rsidR="001E3A9A">
        <w:rPr>
          <w:rFonts w:ascii="Arial" w:hAnsi="Arial" w:cs="Arial"/>
          <w:color w:val="2D3B45"/>
        </w:rPr>
        <w:t>i</w:t>
      </w:r>
      <w:r>
        <w:rPr>
          <w:rFonts w:ascii="Arial" w:hAnsi="Arial" w:cs="Arial"/>
          <w:color w:val="2D3B45"/>
        </w:rPr>
        <w:t xml:space="preserve">t will be nearly impossible to find enough number of consent patients to obtain a statistically meaningful clinical study data. </w:t>
      </w:r>
    </w:p>
    <w:p w14:paraId="71DAB314" w14:textId="727233A7" w:rsidR="00DA1C6D" w:rsidRPr="0005216E" w:rsidRDefault="00DA1C6D" w:rsidP="0005216E">
      <w:pPr>
        <w:pStyle w:val="ListParagraph"/>
        <w:numPr>
          <w:ilvl w:val="0"/>
          <w:numId w:val="44"/>
        </w:numPr>
        <w:shd w:val="clear" w:color="auto" w:fill="FFFFFF"/>
        <w:tabs>
          <w:tab w:val="clear" w:pos="720"/>
          <w:tab w:val="num" w:pos="90"/>
        </w:tabs>
        <w:spacing w:before="100" w:beforeAutospacing="1" w:after="100" w:afterAutospacing="1"/>
        <w:ind w:left="360"/>
        <w:rPr>
          <w:rFonts w:ascii="Arial" w:hAnsi="Arial" w:cs="Arial"/>
          <w:b/>
          <w:bCs/>
          <w:color w:val="2D3B45"/>
        </w:rPr>
      </w:pPr>
      <w:r w:rsidRPr="0005216E">
        <w:rPr>
          <w:rFonts w:ascii="Arial" w:hAnsi="Arial" w:cs="Arial"/>
          <w:b/>
          <w:bCs/>
          <w:color w:val="2D3B45"/>
        </w:rPr>
        <w:t>What types of technology or applications could be used to help inform providers about the emerging risks of medications they prescribe?</w:t>
      </w:r>
    </w:p>
    <w:p w14:paraId="187E8E7D" w14:textId="77777777" w:rsidR="002F0069" w:rsidRPr="00A23F73" w:rsidRDefault="002F0069" w:rsidP="002F0069">
      <w:pPr>
        <w:pStyle w:val="ListParagraph"/>
        <w:rPr>
          <w:rFonts w:ascii="Arial" w:hAnsi="Arial" w:cs="Arial"/>
          <w:b/>
          <w:bCs/>
          <w:color w:val="2D3B45"/>
        </w:rPr>
      </w:pPr>
    </w:p>
    <w:p w14:paraId="06BB1D1A" w14:textId="351CCCF7" w:rsidR="00FD4AED" w:rsidRPr="00FD4AED" w:rsidRDefault="00FD4AED" w:rsidP="00FD4AED">
      <w:pPr>
        <w:shd w:val="clear" w:color="auto" w:fill="FFFFFF"/>
        <w:spacing w:before="100" w:beforeAutospacing="1" w:after="100" w:afterAutospacing="1"/>
        <w:ind w:left="375"/>
        <w:rPr>
          <w:rFonts w:ascii="Arial" w:hAnsi="Arial" w:cs="Arial"/>
          <w:color w:val="2D3B45"/>
        </w:rPr>
      </w:pPr>
      <w:r>
        <w:rPr>
          <w:rFonts w:ascii="Arial" w:hAnsi="Arial" w:cs="Arial"/>
          <w:color w:val="2D3B45"/>
        </w:rPr>
        <w:t>The above-mentioned barriers can be potentially solved using big data. Researchers have been discussing the possibility of replacing specifically designed RCT with big data generated from measurements upon the patient’s visits to clinics, and the treatments for them</w:t>
      </w:r>
      <w:r w:rsidR="00191D9D">
        <w:rPr>
          <w:rFonts w:ascii="Arial" w:hAnsi="Arial" w:cs="Arial"/>
          <w:color w:val="2D3B45"/>
        </w:rPr>
        <w:t xml:space="preserve"> </w:t>
      </w:r>
      <w:r w:rsidR="00191D9D">
        <w:rPr>
          <w:rFonts w:ascii="Arial" w:hAnsi="Arial" w:cs="Arial"/>
          <w:color w:val="2D3B45"/>
        </w:rPr>
        <w:fldChar w:fldCharType="begin">
          <w:fldData xml:space="preserve">PEVuZE5vdGU+PENpdGU+PEF1dGhvcj5IZXJuw6FuPC9BdXRob3I+PFllYXI+MjAxNjwvWWVhcj48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</w:fldData>
        </w:fldChar>
      </w:r>
      <w:r w:rsidR="00F01FD3">
        <w:rPr>
          <w:rFonts w:ascii="Arial" w:hAnsi="Arial" w:cs="Arial"/>
          <w:color w:val="2D3B45"/>
        </w:rPr>
        <w:instrText xml:space="preserve"> ADDIN EN.CITE </w:instrText>
      </w:r>
      <w:r w:rsidR="00F01FD3">
        <w:rPr>
          <w:rFonts w:ascii="Arial" w:hAnsi="Arial" w:cs="Arial"/>
          <w:color w:val="2D3B45"/>
        </w:rPr>
        <w:fldChar w:fldCharType="begin">
          <w:fldData xml:space="preserve">PEVuZE5vdGU+PENpdGU+PEF1dGhvcj5IZXJuw6FuPC9BdXRob3I+PFllYXI+MjAxNjwvWWVhcj48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</w:fldData>
        </w:fldChar>
      </w:r>
      <w:r w:rsidR="00F01FD3">
        <w:rPr>
          <w:rFonts w:ascii="Arial" w:hAnsi="Arial" w:cs="Arial"/>
          <w:color w:val="2D3B45"/>
        </w:rPr>
        <w:instrText xml:space="preserve"> ADDIN EN.CITE.DATA </w:instrText>
      </w:r>
      <w:r w:rsidR="00F01FD3">
        <w:rPr>
          <w:rFonts w:ascii="Arial" w:hAnsi="Arial" w:cs="Arial"/>
          <w:color w:val="2D3B45"/>
        </w:rPr>
      </w:r>
      <w:r w:rsidR="00F01FD3">
        <w:rPr>
          <w:rFonts w:ascii="Arial" w:hAnsi="Arial" w:cs="Arial"/>
          <w:color w:val="2D3B45"/>
        </w:rPr>
        <w:fldChar w:fldCharType="end"/>
      </w:r>
      <w:r w:rsidR="00191D9D">
        <w:rPr>
          <w:rFonts w:ascii="Arial" w:hAnsi="Arial" w:cs="Arial"/>
          <w:color w:val="2D3B45"/>
        </w:rPr>
        <w:fldChar w:fldCharType="separate"/>
      </w:r>
      <w:r w:rsidR="000E4564">
        <w:rPr>
          <w:rFonts w:ascii="Arial" w:hAnsi="Arial" w:cs="Arial"/>
          <w:noProof/>
          <w:color w:val="2D3B45"/>
        </w:rPr>
        <w:t>(Hernán &amp; Robins, 2016; Raghupathi &amp; Raghupathi, 2014; Wang, 2013)</w:t>
      </w:r>
      <w:r w:rsidR="00191D9D">
        <w:rPr>
          <w:rFonts w:ascii="Arial" w:hAnsi="Arial" w:cs="Arial"/>
          <w:color w:val="2D3B45"/>
        </w:rPr>
        <w:fldChar w:fldCharType="end"/>
      </w:r>
      <w:r w:rsidR="00191D9D">
        <w:rPr>
          <w:rFonts w:ascii="Arial" w:hAnsi="Arial" w:cs="Arial"/>
          <w:color w:val="2D3B45"/>
        </w:rPr>
        <w:t>.</w:t>
      </w:r>
    </w:p>
    <w:p w14:paraId="66D0A0E7" w14:textId="4B4E99E9" w:rsidR="00110C83" w:rsidRPr="00A23F73" w:rsidRDefault="00FD4AED" w:rsidP="00110C83">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t xml:space="preserve">The essentials of applying big data in clinical trials is pattern recognizing. </w:t>
      </w:r>
      <w:r w:rsidR="002F0069" w:rsidRPr="00A23F73">
        <w:rPr>
          <w:rFonts w:ascii="Arial" w:hAnsi="Arial" w:cs="Arial"/>
          <w:bCs/>
          <w:color w:val="2D3B45"/>
        </w:rPr>
        <w:t xml:space="preserve">To determine that if </w:t>
      </w:r>
      <w:r w:rsidR="00110C83" w:rsidRPr="00A23F73">
        <w:rPr>
          <w:rFonts w:ascii="Arial" w:hAnsi="Arial" w:cs="Arial"/>
          <w:bCs/>
          <w:color w:val="2D3B45"/>
        </w:rPr>
        <w:t>any of the</w:t>
      </w:r>
      <w:r w:rsidR="002F0069" w:rsidRPr="00A23F73">
        <w:rPr>
          <w:rFonts w:ascii="Arial" w:hAnsi="Arial" w:cs="Arial"/>
          <w:bCs/>
          <w:color w:val="2D3B45"/>
        </w:rPr>
        <w:t xml:space="preserve"> medications prescribed</w:t>
      </w:r>
      <w:r w:rsidR="00110C83" w:rsidRPr="00A23F73">
        <w:rPr>
          <w:rFonts w:ascii="Arial" w:hAnsi="Arial" w:cs="Arial"/>
          <w:bCs/>
          <w:color w:val="2D3B45"/>
        </w:rPr>
        <w:t xml:space="preserve"> to the patients</w:t>
      </w:r>
      <w:r w:rsidR="002F0069" w:rsidRPr="00A23F73">
        <w:rPr>
          <w:rFonts w:ascii="Arial" w:hAnsi="Arial" w:cs="Arial"/>
          <w:bCs/>
          <w:color w:val="2D3B45"/>
        </w:rPr>
        <w:t xml:space="preserve"> could be associated with health risks, </w:t>
      </w:r>
      <w:r w:rsidR="00110C83" w:rsidRPr="00A23F73">
        <w:rPr>
          <w:rFonts w:ascii="Arial" w:hAnsi="Arial" w:cs="Arial"/>
          <w:bCs/>
          <w:color w:val="2D3B45"/>
        </w:rPr>
        <w:t>we need to</w:t>
      </w:r>
      <w:r w:rsidR="002F0069" w:rsidRPr="00A23F73">
        <w:rPr>
          <w:rFonts w:ascii="Arial" w:hAnsi="Arial" w:cs="Arial"/>
          <w:bCs/>
          <w:color w:val="2D3B45"/>
        </w:rPr>
        <w:t xml:space="preserve"> recogniz</w:t>
      </w:r>
      <w:r w:rsidR="00110C83" w:rsidRPr="00A23F73">
        <w:rPr>
          <w:rFonts w:ascii="Arial" w:hAnsi="Arial" w:cs="Arial"/>
          <w:bCs/>
          <w:color w:val="2D3B45"/>
        </w:rPr>
        <w:t>e patterns</w:t>
      </w:r>
      <w:r w:rsidR="002F0069" w:rsidRPr="00A23F73">
        <w:rPr>
          <w:rFonts w:ascii="Arial" w:hAnsi="Arial" w:cs="Arial"/>
          <w:bCs/>
          <w:color w:val="2D3B45"/>
        </w:rPr>
        <w:t xml:space="preserve"> from the patent’s medication and health history. That is, </w:t>
      </w:r>
      <w:r w:rsidR="00110C83" w:rsidRPr="00A23F73">
        <w:rPr>
          <w:rFonts w:ascii="Arial" w:hAnsi="Arial" w:cs="Arial"/>
          <w:bCs/>
          <w:color w:val="2D3B45"/>
        </w:rPr>
        <w:t xml:space="preserve">data on all the medication and illness of the patient should be stored in a database. Based on the database, patterns on whether any given prescriptions </w:t>
      </w:r>
      <w:r w:rsidR="00DE7FF8" w:rsidRPr="00A23F73">
        <w:rPr>
          <w:rFonts w:ascii="Arial" w:hAnsi="Arial" w:cs="Arial"/>
          <w:bCs/>
          <w:color w:val="2D3B45"/>
        </w:rPr>
        <w:t>are</w:t>
      </w:r>
      <w:r w:rsidR="00110C83" w:rsidRPr="00A23F73">
        <w:rPr>
          <w:rFonts w:ascii="Arial" w:hAnsi="Arial" w:cs="Arial"/>
          <w:bCs/>
          <w:color w:val="2D3B45"/>
        </w:rPr>
        <w:t xml:space="preserve"> associated with health risks should be brought up for notice. However, this is not easy task, as the size of health care data tend to be large, and the number of patients is also large. Thus, big data with machine learning technology could be used to recognize patterns from such large database.</w:t>
      </w:r>
    </w:p>
    <w:p w14:paraId="6E14FB73" w14:textId="71D99EA7" w:rsidR="00DA1C6D"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A23F73">
        <w:rPr>
          <w:rFonts w:ascii="Arial" w:hAnsi="Arial" w:cs="Arial"/>
          <w:b/>
          <w:bCs/>
          <w:color w:val="2D3B45"/>
        </w:rPr>
        <w:t>Do some research on either two privacy or medication solutions that are currently available and share them, with a brief description and a link with more details. </w:t>
      </w:r>
    </w:p>
    <w:p w14:paraId="53B9DA26" w14:textId="6B657D03" w:rsidR="00C6000B" w:rsidRDefault="00C6000B" w:rsidP="00C6000B">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t>There are various kinds of anti-inflammatory drugs available beyond Vioxx. After Vioxx is taken out of market, conventional</w:t>
      </w:r>
      <w:r w:rsidRPr="00C6000B">
        <w:rPr>
          <w:rFonts w:ascii="Arial" w:hAnsi="Arial" w:cs="Arial"/>
          <w:bCs/>
          <w:color w:val="2D3B45"/>
        </w:rPr>
        <w:t xml:space="preserve"> and much less expensive anti-inflammatory drugs such as aspirin</w:t>
      </w:r>
      <w:r>
        <w:rPr>
          <w:rFonts w:ascii="Arial" w:hAnsi="Arial" w:cs="Arial"/>
          <w:bCs/>
          <w:color w:val="2D3B45"/>
        </w:rPr>
        <w:t xml:space="preserve"> and ibuprofen are still available in the market </w:t>
      </w:r>
      <w:r>
        <w:rPr>
          <w:rFonts w:ascii="Arial" w:hAnsi="Arial" w:cs="Arial"/>
          <w:bCs/>
          <w:color w:val="2D3B45"/>
        </w:rPr>
        <w:fldChar w:fldCharType="begin"/>
      </w:r>
      <w:r>
        <w:rPr>
          <w:rFonts w:ascii="Arial" w:hAnsi="Arial" w:cs="Arial"/>
          <w:bCs/>
          <w:color w:val="2D3B45"/>
        </w:rPr>
        <w:instrText xml:space="preserve"> ADDIN EN.CITE &lt;EndNote&gt;&lt;Cite&gt;&lt;Year&gt;2005&lt;/Year&gt;&lt;RecNum&gt;10&lt;/RecNum&gt;&lt;DisplayText&gt;(&amp;quot;Alternatives to Vioxx if Heart Disease Present,&amp;quot; 2005)&lt;/DisplayText&gt;&lt;record&gt;&lt;rec-number&gt;10&lt;/rec-number&gt;&lt;foreign-keys&gt;&lt;key app="EN" db-id="twaad2zfjsszzoe59dexvzxcp25sf52vf52v" timestamp="1578932625"&gt;10&lt;/key&gt;&lt;/foreign-keys&gt;&lt;ref-type name="Web Page"&gt;12&lt;/ref-type&gt;&lt;contributors&gt;&lt;/contributors&gt;&lt;titles&gt;&lt;title&gt;Alternatives to Vioxx if Heart Disease Present&lt;/title&gt;&lt;/titles&gt;&lt;dates&gt;&lt;year&gt;2005&lt;/year&gt;&lt;/dates&gt;&lt;urls&gt;&lt;related-urls&gt;&lt;url&gt;https://www.health.harvard.edu/heart-health/alternatives-to-vioxx-if-heart-disease-present--thefamily-healthguide&lt;/url&gt;&lt;/related-urls&gt;&lt;/urls&gt;&lt;/record&gt;&lt;/Cite&gt;&lt;/EndNote&gt;</w:instrText>
      </w:r>
      <w:r>
        <w:rPr>
          <w:rFonts w:ascii="Arial" w:hAnsi="Arial" w:cs="Arial"/>
          <w:bCs/>
          <w:color w:val="2D3B45"/>
        </w:rPr>
        <w:fldChar w:fldCharType="separate"/>
      </w:r>
      <w:r>
        <w:rPr>
          <w:rFonts w:ascii="Arial" w:hAnsi="Arial" w:cs="Arial"/>
          <w:bCs/>
          <w:noProof/>
          <w:color w:val="2D3B45"/>
        </w:rPr>
        <w:t>("Alternatives to Vioxx if Heart Disease Present," 2005)</w:t>
      </w:r>
      <w:r>
        <w:rPr>
          <w:rFonts w:ascii="Arial" w:hAnsi="Arial" w:cs="Arial"/>
          <w:bCs/>
          <w:color w:val="2D3B45"/>
        </w:rPr>
        <w:fldChar w:fldCharType="end"/>
      </w:r>
      <w:r>
        <w:rPr>
          <w:rFonts w:ascii="Arial" w:hAnsi="Arial" w:cs="Arial"/>
          <w:bCs/>
          <w:color w:val="2D3B45"/>
        </w:rPr>
        <w:t>.</w:t>
      </w:r>
    </w:p>
    <w:p w14:paraId="6EDFF39E" w14:textId="66C45E38" w:rsidR="00C6000B" w:rsidRDefault="00C6000B" w:rsidP="00C6000B">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lastRenderedPageBreak/>
        <w:t xml:space="preserve">Aspirin is also known as acetylsalicylic acid, </w:t>
      </w:r>
      <w:r w:rsidRPr="00C6000B">
        <w:rPr>
          <w:rFonts w:ascii="Arial" w:hAnsi="Arial" w:cs="Arial"/>
          <w:bCs/>
          <w:color w:val="2D3B45"/>
        </w:rPr>
        <w:t xml:space="preserve">is a </w:t>
      </w:r>
      <w:r>
        <w:rPr>
          <w:rFonts w:ascii="Arial" w:hAnsi="Arial" w:cs="Arial"/>
          <w:bCs/>
          <w:color w:val="2D3B45"/>
        </w:rPr>
        <w:t xml:space="preserve">well-used </w:t>
      </w:r>
      <w:r w:rsidRPr="00C6000B">
        <w:rPr>
          <w:rFonts w:ascii="Arial" w:hAnsi="Arial" w:cs="Arial"/>
          <w:bCs/>
          <w:color w:val="2D3B45"/>
        </w:rPr>
        <w:t>medication to reduce pain, fever, or inflammation</w:t>
      </w:r>
      <w:r>
        <w:rPr>
          <w:rFonts w:ascii="Arial" w:hAnsi="Arial" w:cs="Arial"/>
          <w:bCs/>
          <w:color w:val="2D3B45"/>
        </w:rPr>
        <w:t>:</w:t>
      </w:r>
    </w:p>
    <w:p w14:paraId="05AD5C8E" w14:textId="6337942C" w:rsidR="00C6000B" w:rsidRDefault="007C286B" w:rsidP="00C6000B">
      <w:pPr>
        <w:shd w:val="clear" w:color="auto" w:fill="FFFFFF"/>
        <w:spacing w:before="100" w:beforeAutospacing="1" w:after="100" w:afterAutospacing="1"/>
        <w:ind w:left="375"/>
        <w:rPr>
          <w:rStyle w:val="Hyperlink"/>
          <w:rFonts w:ascii="Arial" w:hAnsi="Arial" w:cs="Arial"/>
          <w:bCs/>
        </w:rPr>
      </w:pPr>
      <w:hyperlink r:id="rId9" w:history="1">
        <w:r w:rsidR="00C6000B" w:rsidRPr="00B12FC8">
          <w:rPr>
            <w:rStyle w:val="Hyperlink"/>
            <w:rFonts w:ascii="Arial" w:hAnsi="Arial" w:cs="Arial"/>
            <w:bCs/>
          </w:rPr>
          <w:t>https://en.wikipedia.org/w</w:t>
        </w:r>
        <w:r w:rsidR="00C6000B" w:rsidRPr="00B12FC8">
          <w:rPr>
            <w:rStyle w:val="Hyperlink"/>
            <w:rFonts w:ascii="Arial" w:hAnsi="Arial" w:cs="Arial"/>
            <w:bCs/>
          </w:rPr>
          <w:t>i</w:t>
        </w:r>
        <w:r w:rsidR="00C6000B" w:rsidRPr="00B12FC8">
          <w:rPr>
            <w:rStyle w:val="Hyperlink"/>
            <w:rFonts w:ascii="Arial" w:hAnsi="Arial" w:cs="Arial"/>
            <w:bCs/>
          </w:rPr>
          <w:t>ki/Aspirin</w:t>
        </w:r>
      </w:hyperlink>
    </w:p>
    <w:p w14:paraId="7D915102" w14:textId="4B9C62A1" w:rsidR="000E4564" w:rsidRDefault="000E4564" w:rsidP="00C6000B">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t xml:space="preserve">Aspirin is known </w:t>
      </w:r>
      <w:r>
        <w:rPr>
          <w:rFonts w:ascii="Arial" w:hAnsi="Arial" w:cs="Arial"/>
          <w:bCs/>
          <w:color w:val="2D3B45"/>
        </w:rPr>
        <w:t xml:space="preserve">for the risk of causing internal bleeding when a large dosage is used </w:t>
      </w:r>
      <w:r>
        <w:rPr>
          <w:rFonts w:ascii="Arial" w:hAnsi="Arial" w:cs="Arial"/>
          <w:bCs/>
          <w:color w:val="2D3B45"/>
        </w:rPr>
        <w:fldChar w:fldCharType="begin"/>
      </w:r>
      <w:r>
        <w:rPr>
          <w:rFonts w:ascii="Arial" w:hAnsi="Arial" w:cs="Arial"/>
          <w:bCs/>
          <w:color w:val="2D3B45"/>
        </w:rPr>
        <w:instrText xml:space="preserve"> ADDIN EN.CITE &lt;EndNote&gt;&lt;Cite&gt;&lt;Author&gt;Kelly&lt;/Author&gt;&lt;Year&gt;1996&lt;/Year&gt;&lt;RecNum&gt;11&lt;/RecNum&gt;&lt;DisplayText&gt;(Kelly et al., 1996; Sanak, Simon, &amp;amp; Szczeklik, 1997)&lt;/DisplayText&gt;&lt;record&gt;&lt;rec-number&gt;11&lt;/rec-number&gt;&lt;foreign-keys&gt;&lt;key app="EN" db-id="twaad2zfjsszzoe59dexvzxcp25sf52vf52v" timestamp="1578961221"&gt;11&lt;/key&gt;&lt;/foreign-keys&gt;&lt;ref-type name="Journal Article"&gt;17&lt;/ref-type&gt;&lt;contributors&gt;&lt;authors&gt;&lt;author&gt;Kelly, Judith P&lt;/author&gt;&lt;author&gt;Kaufman, David W&lt;/author&gt;&lt;author&gt;Jurgelon, Jan M&lt;/author&gt;&lt;author&gt;Sheehan, Jane&lt;/author&gt;&lt;author&gt;Koff, Raymond S&lt;/author&gt;&lt;author&gt;Shapiro, Samuel &lt;/author&gt;&lt;/authors&gt;&lt;/contributors&gt;&lt;titles&gt;&lt;title&gt;Risk of aspirin-associated major upper-gastrointestinal bleeding with enteric-coated or buffered product&lt;/title&gt;&lt;secondary-title&gt;The Lancet&lt;/secondary-title&gt;&lt;/titles&gt;&lt;periodical&gt;&lt;full-title&gt;The Lancet&lt;/full-title&gt;&lt;/periodical&gt;&lt;pages&gt;1413-1416&lt;/pages&gt;&lt;volume&gt;348&lt;/volume&gt;&lt;number&gt;9039&lt;/number&gt;&lt;dates&gt;&lt;year&gt;1996&lt;/year&gt;&lt;/dates&gt;&lt;isbn&gt;0140-6736&lt;/isbn&gt;&lt;urls&gt;&lt;/urls&gt;&lt;/record&gt;&lt;/Cite&gt;&lt;Cite&gt;&lt;Author&gt;Sanak&lt;/Author&gt;&lt;Year&gt;1997&lt;/Year&gt;&lt;RecNum&gt;12&lt;/RecNum&gt;&lt;record&gt;&lt;rec-number&gt;12&lt;/rec-number&gt;&lt;foreign-keys&gt;&lt;key app="EN" db-id="twaad2zfjsszzoe59dexvzxcp25sf52vf52v" timestamp="1578961261"&gt;12&lt;/key&gt;&lt;/foreign-keys&gt;&lt;ref-type name="Journal Article"&gt;17&lt;/ref-type&gt;&lt;contributors&gt;&lt;authors&gt;&lt;author&gt;Sanak, Marek&lt;/author&gt;&lt;author&gt;Simon, Hans-Uwe&lt;/author&gt;&lt;author&gt;Szczeklik, Andrzej&lt;/author&gt;&lt;/authors&gt;&lt;/contributors&gt;&lt;titles&gt;&lt;title&gt;Leukotriene C4 synthase promoter polymorphism and risk of aspirin-induced asthma&lt;/title&gt;&lt;secondary-title&gt;Lancet&lt;/secondary-title&gt;&lt;/titles&gt;&lt;periodical&gt;&lt;full-title&gt;Lancet&lt;/full-title&gt;&lt;/periodical&gt;&lt;pages&gt;1599-1599&lt;/pages&gt;&lt;volume&gt;350&lt;/volume&gt;&lt;number&gt;9091&lt;/number&gt;&lt;dates&gt;&lt;year&gt;1997&lt;/year&gt;&lt;/dates&gt;&lt;isbn&gt;0140-6736&lt;/isbn&gt;&lt;urls&gt;&lt;/urls&gt;&lt;/record&gt;&lt;/Cite&gt;&lt;/EndNote&gt;</w:instrText>
      </w:r>
      <w:r>
        <w:rPr>
          <w:rFonts w:ascii="Arial" w:hAnsi="Arial" w:cs="Arial"/>
          <w:bCs/>
          <w:color w:val="2D3B45"/>
        </w:rPr>
        <w:fldChar w:fldCharType="separate"/>
      </w:r>
      <w:r>
        <w:rPr>
          <w:rFonts w:ascii="Arial" w:hAnsi="Arial" w:cs="Arial"/>
          <w:bCs/>
          <w:noProof/>
          <w:color w:val="2D3B45"/>
        </w:rPr>
        <w:t>(Kelly et al., 1996; Sanak, Simon, &amp; Szczeklik, 1997)</w:t>
      </w:r>
      <w:r>
        <w:rPr>
          <w:rFonts w:ascii="Arial" w:hAnsi="Arial" w:cs="Arial"/>
          <w:bCs/>
          <w:color w:val="2D3B45"/>
        </w:rPr>
        <w:fldChar w:fldCharType="end"/>
      </w:r>
      <w:r>
        <w:rPr>
          <w:rFonts w:ascii="Arial" w:hAnsi="Arial" w:cs="Arial"/>
          <w:bCs/>
          <w:color w:val="2D3B45"/>
        </w:rPr>
        <w:t xml:space="preserve">. </w:t>
      </w:r>
    </w:p>
    <w:p w14:paraId="4ADCE591" w14:textId="4ADDC073" w:rsidR="00C6000B" w:rsidRDefault="00C6000B" w:rsidP="00C6000B">
      <w:pPr>
        <w:shd w:val="clear" w:color="auto" w:fill="FFFFFF"/>
        <w:spacing w:before="100" w:beforeAutospacing="1" w:after="100" w:afterAutospacing="1"/>
        <w:ind w:left="375"/>
        <w:rPr>
          <w:rFonts w:ascii="Arial" w:hAnsi="Arial" w:cs="Arial"/>
          <w:bCs/>
          <w:color w:val="2D3B45"/>
        </w:rPr>
      </w:pPr>
      <w:r w:rsidRPr="00C6000B">
        <w:rPr>
          <w:rFonts w:ascii="Arial" w:hAnsi="Arial" w:cs="Arial"/>
          <w:bCs/>
          <w:color w:val="2D3B45"/>
        </w:rPr>
        <w:t xml:space="preserve">Ibuprofen is </w:t>
      </w:r>
      <w:r>
        <w:rPr>
          <w:rFonts w:ascii="Arial" w:hAnsi="Arial" w:cs="Arial"/>
          <w:bCs/>
          <w:color w:val="2D3B45"/>
        </w:rPr>
        <w:t xml:space="preserve">also known as </w:t>
      </w:r>
      <w:r w:rsidRPr="00C6000B">
        <w:rPr>
          <w:rFonts w:ascii="Arial" w:hAnsi="Arial" w:cs="Arial"/>
          <w:bCs/>
          <w:color w:val="2D3B45"/>
        </w:rPr>
        <w:t>isobutylphenylpropionic acid</w:t>
      </w:r>
      <w:r>
        <w:rPr>
          <w:rFonts w:ascii="Arial" w:hAnsi="Arial" w:cs="Arial"/>
          <w:bCs/>
          <w:color w:val="2D3B45"/>
        </w:rPr>
        <w:t xml:space="preserve">, </w:t>
      </w:r>
      <w:r w:rsidRPr="00C6000B">
        <w:rPr>
          <w:rFonts w:ascii="Arial" w:hAnsi="Arial" w:cs="Arial"/>
          <w:bCs/>
          <w:color w:val="2D3B45"/>
        </w:rPr>
        <w:t xml:space="preserve">is a </w:t>
      </w:r>
      <w:r>
        <w:rPr>
          <w:rFonts w:ascii="Arial" w:hAnsi="Arial" w:cs="Arial"/>
          <w:bCs/>
          <w:color w:val="2D3B45"/>
        </w:rPr>
        <w:t xml:space="preserve">well-used </w:t>
      </w:r>
      <w:r w:rsidRPr="00C6000B">
        <w:rPr>
          <w:rFonts w:ascii="Arial" w:hAnsi="Arial" w:cs="Arial"/>
          <w:bCs/>
          <w:color w:val="2D3B45"/>
        </w:rPr>
        <w:t>medication to reduce pain, fever, or inflammation</w:t>
      </w:r>
      <w:r>
        <w:rPr>
          <w:rFonts w:ascii="Arial" w:hAnsi="Arial" w:cs="Arial"/>
          <w:bCs/>
          <w:color w:val="2D3B45"/>
        </w:rPr>
        <w:t>:</w:t>
      </w:r>
    </w:p>
    <w:p w14:paraId="175FC84A" w14:textId="38AADAC5" w:rsidR="00C6000B" w:rsidRDefault="007C286B" w:rsidP="00C6000B">
      <w:pPr>
        <w:shd w:val="clear" w:color="auto" w:fill="FFFFFF"/>
        <w:spacing w:before="100" w:beforeAutospacing="1" w:after="100" w:afterAutospacing="1"/>
        <w:ind w:left="375"/>
        <w:rPr>
          <w:rFonts w:ascii="Arial" w:hAnsi="Arial" w:cs="Arial"/>
          <w:bCs/>
          <w:color w:val="2D3B45"/>
        </w:rPr>
      </w:pPr>
      <w:hyperlink r:id="rId10" w:history="1">
        <w:r w:rsidR="00C6000B" w:rsidRPr="00B12FC8">
          <w:rPr>
            <w:rStyle w:val="Hyperlink"/>
            <w:rFonts w:ascii="Arial" w:hAnsi="Arial" w:cs="Arial"/>
            <w:bCs/>
          </w:rPr>
          <w:t>https://en.wikipedia.org/wiki/Ibuprofen</w:t>
        </w:r>
      </w:hyperlink>
    </w:p>
    <w:p w14:paraId="132ECEAF" w14:textId="0CE4DFDB" w:rsidR="00C6000B" w:rsidRDefault="000E4564" w:rsidP="00C6000B">
      <w:pPr>
        <w:shd w:val="clear" w:color="auto" w:fill="FFFFFF"/>
        <w:spacing w:before="100" w:beforeAutospacing="1" w:after="100" w:afterAutospacing="1"/>
        <w:ind w:left="375"/>
        <w:rPr>
          <w:rFonts w:ascii="Arial" w:hAnsi="Arial" w:cs="Arial"/>
          <w:bCs/>
          <w:color w:val="2D3B45"/>
        </w:rPr>
      </w:pPr>
      <w:r>
        <w:rPr>
          <w:rFonts w:ascii="Arial" w:hAnsi="Arial" w:cs="Arial"/>
          <w:bCs/>
          <w:color w:val="2D3B45"/>
        </w:rPr>
        <w:t>Ibuprofen</w:t>
      </w:r>
      <w:r>
        <w:rPr>
          <w:rFonts w:ascii="Arial" w:hAnsi="Arial" w:cs="Arial"/>
          <w:bCs/>
          <w:color w:val="2D3B45"/>
        </w:rPr>
        <w:t xml:space="preserve"> is known for the risk of causing </w:t>
      </w:r>
      <w:r>
        <w:rPr>
          <w:rFonts w:ascii="Arial" w:hAnsi="Arial" w:cs="Arial"/>
          <w:bCs/>
          <w:color w:val="2D3B45"/>
        </w:rPr>
        <w:t>a</w:t>
      </w:r>
      <w:r w:rsidRPr="000E4564">
        <w:rPr>
          <w:rFonts w:ascii="Arial" w:hAnsi="Arial" w:cs="Arial"/>
          <w:bCs/>
          <w:color w:val="2D3B45"/>
        </w:rPr>
        <w:t>sthma in children</w:t>
      </w:r>
      <w:r>
        <w:rPr>
          <w:rFonts w:ascii="Arial" w:hAnsi="Arial" w:cs="Arial"/>
          <w:bCs/>
          <w:color w:val="2D3B45"/>
        </w:rPr>
        <w:t xml:space="preserve"> </w:t>
      </w:r>
      <w:r>
        <w:rPr>
          <w:rFonts w:ascii="Arial" w:hAnsi="Arial" w:cs="Arial"/>
          <w:bCs/>
          <w:color w:val="2D3B45"/>
        </w:rPr>
        <w:fldChar w:fldCharType="begin"/>
      </w:r>
      <w:r w:rsidR="00F01FD3">
        <w:rPr>
          <w:rFonts w:ascii="Arial" w:hAnsi="Arial" w:cs="Arial"/>
          <w:bCs/>
          <w:color w:val="2D3B45"/>
        </w:rPr>
        <w:instrText xml:space="preserve"> ADDIN EN.CITE &lt;EndNote&gt;&lt;Cite&gt;&lt;Author&gt;Lesko&lt;/Author&gt;&lt;Year&gt;2002&lt;/Year&gt;&lt;RecNum&gt;13&lt;/RecNum&gt;&lt;DisplayText&gt;(Lesko, Louik, Vezina, &amp;amp; Mitchell, 2002)&lt;/DisplayText&gt;&lt;record&gt;&lt;rec-number&gt;13&lt;/rec-number&gt;&lt;foreign-keys&gt;&lt;key app="EN" db-id="twaad2zfjsszzoe59dexvzxcp25sf52vf52v" timestamp="1578961502"&gt;13&lt;/key&gt;&lt;/foreign-keys&gt;&lt;ref-type name="Journal Article"&gt;17&lt;/ref-type&gt;&lt;contributors&gt;&lt;authors&gt;&lt;author&gt;Lesko, Samuel M&lt;/author&gt;&lt;author&gt;Louik, Carol&lt;/author&gt;&lt;author&gt;Vezina, Richard M&lt;/author&gt;&lt;author&gt;Mitchell, Allen A&lt;/author&gt;&lt;/authors&gt;&lt;/contributors&gt;&lt;titles&gt;&lt;title&gt;Asthma morbidity after the short-term use of ibuprofen in children&lt;/title&gt;&lt;secondary-title&gt;Pediatrics&lt;/secondary-title&gt;&lt;/titles&gt;&lt;periodical&gt;&lt;full-title&gt;Pediatrics&lt;/full-title&gt;&lt;/periodical&gt;&lt;pages&gt;e20-e20&lt;/pages&gt;&lt;volume&gt;109&lt;/volume&gt;&lt;number&gt;2&lt;/number&gt;&lt;dates&gt;&lt;year&gt;2002&lt;/year&gt;&lt;/dates&gt;&lt;isbn&gt;0031-4005&lt;/isbn&gt;&lt;urls&gt;&lt;/urls&gt;&lt;/record&gt;&lt;/Cite&gt;&lt;/EndNote&gt;</w:instrText>
      </w:r>
      <w:r>
        <w:rPr>
          <w:rFonts w:ascii="Arial" w:hAnsi="Arial" w:cs="Arial"/>
          <w:bCs/>
          <w:color w:val="2D3B45"/>
        </w:rPr>
        <w:fldChar w:fldCharType="separate"/>
      </w:r>
      <w:r>
        <w:rPr>
          <w:rFonts w:ascii="Arial" w:hAnsi="Arial" w:cs="Arial"/>
          <w:bCs/>
          <w:noProof/>
          <w:color w:val="2D3B45"/>
        </w:rPr>
        <w:t>(Lesko, Louik, Vezina, &amp; Mitchell, 2002)</w:t>
      </w:r>
      <w:r>
        <w:rPr>
          <w:rFonts w:ascii="Arial" w:hAnsi="Arial" w:cs="Arial"/>
          <w:bCs/>
          <w:color w:val="2D3B45"/>
        </w:rPr>
        <w:fldChar w:fldCharType="end"/>
      </w:r>
      <w:r>
        <w:rPr>
          <w:rFonts w:ascii="Arial" w:hAnsi="Arial" w:cs="Arial"/>
          <w:bCs/>
          <w:color w:val="2D3B45"/>
        </w:rPr>
        <w:t>.</w:t>
      </w:r>
    </w:p>
    <w:p w14:paraId="44A860E2" w14:textId="06A0334E" w:rsidR="00DA1C6D" w:rsidRPr="00C6000B" w:rsidRDefault="00C6000B" w:rsidP="00B85CC4">
      <w:pPr>
        <w:shd w:val="clear" w:color="auto" w:fill="FFFFFF"/>
        <w:spacing w:before="100" w:beforeAutospacing="1" w:after="100" w:afterAutospacing="1"/>
        <w:ind w:left="375" w:hanging="375"/>
        <w:rPr>
          <w:rFonts w:ascii="Arial" w:hAnsi="Arial" w:cs="Arial"/>
          <w:b/>
          <w:color w:val="2D3B45"/>
        </w:rPr>
      </w:pPr>
      <w:r w:rsidRPr="00C6000B">
        <w:rPr>
          <w:rFonts w:ascii="Arial" w:hAnsi="Arial" w:cs="Arial"/>
          <w:b/>
          <w:color w:val="2D3B45"/>
        </w:rPr>
        <w:t>References</w:t>
      </w:r>
    </w:p>
    <w:p w14:paraId="04645012" w14:textId="4C7A4FFB" w:rsidR="00F01FD3" w:rsidRPr="00F01FD3" w:rsidRDefault="00191D9D" w:rsidP="00F01FD3">
      <w:pPr>
        <w:pStyle w:val="EndNoteBibliography"/>
        <w:ind w:left="720" w:hanging="720"/>
        <w:rPr>
          <w:noProof/>
        </w:rPr>
      </w:pPr>
      <w:r>
        <w:rPr>
          <w:rFonts w:ascii="Arial" w:hAnsi="Arial" w:cs="Arial"/>
          <w:b/>
          <w:bCs/>
        </w:rPr>
        <w:fldChar w:fldCharType="begin"/>
      </w:r>
      <w:r>
        <w:rPr>
          <w:rFonts w:ascii="Arial" w:hAnsi="Arial" w:cs="Arial"/>
          <w:b/>
          <w:bCs/>
        </w:rPr>
        <w:instrText xml:space="preserve"> ADDIN EN.REFLIST </w:instrText>
      </w:r>
      <w:r>
        <w:rPr>
          <w:rFonts w:ascii="Arial" w:hAnsi="Arial" w:cs="Arial"/>
          <w:b/>
          <w:bCs/>
        </w:rPr>
        <w:fldChar w:fldCharType="separate"/>
      </w:r>
      <w:r w:rsidR="00F01FD3" w:rsidRPr="00F01FD3">
        <w:rPr>
          <w:noProof/>
        </w:rPr>
        <w:t xml:space="preserve">Alternatives to Vioxx if Heart Disease Present. (2005). Retrieved from </w:t>
      </w:r>
      <w:hyperlink r:id="rId11" w:history="1">
        <w:r w:rsidR="00F01FD3" w:rsidRPr="00F01FD3">
          <w:rPr>
            <w:rStyle w:val="Hyperlink"/>
            <w:noProof/>
          </w:rPr>
          <w:t>https://www.health.harvard.edu/heart-health/alternatives-to-vioxx-if-heart-disease-present--thefamily-healthguide</w:t>
        </w:r>
      </w:hyperlink>
    </w:p>
    <w:p w14:paraId="7F0C9896" w14:textId="77777777" w:rsidR="00F01FD3" w:rsidRPr="00F01FD3" w:rsidRDefault="00F01FD3" w:rsidP="00F01FD3">
      <w:pPr>
        <w:pStyle w:val="EndNoteBibliography"/>
        <w:ind w:left="720" w:hanging="720"/>
        <w:rPr>
          <w:noProof/>
        </w:rPr>
      </w:pPr>
      <w:r w:rsidRPr="00F01FD3">
        <w:rPr>
          <w:noProof/>
        </w:rPr>
        <w:t xml:space="preserve">Bombardier, C., Laine, L., Reicin, A., Shapiro, D., Burgos-Vargas, R., Davis, B., . . . Hochberg, M. C. (2000). Comparison of upper gastrointestinal toxicity of rofecoxib and naproxen in patients with rheumatoid arthritis. </w:t>
      </w:r>
      <w:r w:rsidRPr="00F01FD3">
        <w:rPr>
          <w:i/>
          <w:noProof/>
        </w:rPr>
        <w:t>New England Journal of Medicine, 343</w:t>
      </w:r>
      <w:r w:rsidRPr="00F01FD3">
        <w:rPr>
          <w:noProof/>
        </w:rPr>
        <w:t xml:space="preserve">(21), 1520-1528. </w:t>
      </w:r>
    </w:p>
    <w:p w14:paraId="0D1EF857" w14:textId="77777777" w:rsidR="00F01FD3" w:rsidRPr="00F01FD3" w:rsidRDefault="00F01FD3" w:rsidP="00F01FD3">
      <w:pPr>
        <w:pStyle w:val="EndNoteBibliography"/>
        <w:ind w:left="720" w:hanging="720"/>
        <w:rPr>
          <w:noProof/>
        </w:rPr>
      </w:pPr>
      <w:r w:rsidRPr="00F01FD3">
        <w:rPr>
          <w:noProof/>
        </w:rPr>
        <w:t xml:space="preserve">Findlay, S. (2015). </w:t>
      </w:r>
      <w:r w:rsidRPr="00F01FD3">
        <w:rPr>
          <w:i/>
          <w:noProof/>
        </w:rPr>
        <w:t>The FDA's Sentinel Initiative</w:t>
      </w:r>
      <w:r w:rsidRPr="00F01FD3">
        <w:rPr>
          <w:noProof/>
        </w:rPr>
        <w:t>: Project HOPE.</w:t>
      </w:r>
    </w:p>
    <w:p w14:paraId="7A86B9C7" w14:textId="77777777" w:rsidR="00F01FD3" w:rsidRPr="00F01FD3" w:rsidRDefault="00F01FD3" w:rsidP="00F01FD3">
      <w:pPr>
        <w:pStyle w:val="EndNoteBibliography"/>
        <w:ind w:left="720" w:hanging="720"/>
        <w:rPr>
          <w:noProof/>
        </w:rPr>
      </w:pPr>
      <w:r w:rsidRPr="00F01FD3">
        <w:rPr>
          <w:noProof/>
        </w:rPr>
        <w:t xml:space="preserve">Hernán, M. A., &amp; Robins, J. M. (2016). Using big data to emulate a target trial when a randomized trial is not available. </w:t>
      </w:r>
      <w:r w:rsidRPr="00F01FD3">
        <w:rPr>
          <w:i/>
          <w:noProof/>
        </w:rPr>
        <w:t>American journal of epidemiology, 183</w:t>
      </w:r>
      <w:r w:rsidRPr="00F01FD3">
        <w:rPr>
          <w:noProof/>
        </w:rPr>
        <w:t xml:space="preserve">(8), 758-764. </w:t>
      </w:r>
    </w:p>
    <w:p w14:paraId="2D2CF694" w14:textId="77777777" w:rsidR="00F01FD3" w:rsidRPr="00F01FD3" w:rsidRDefault="00F01FD3" w:rsidP="00F01FD3">
      <w:pPr>
        <w:pStyle w:val="EndNoteBibliography"/>
        <w:ind w:left="720" w:hanging="720"/>
        <w:rPr>
          <w:noProof/>
        </w:rPr>
      </w:pPr>
      <w:r w:rsidRPr="00F01FD3">
        <w:rPr>
          <w:noProof/>
        </w:rPr>
        <w:t xml:space="preserve">Kelly, J. P., Kaufman, D. W., Jurgelon, J. M., Sheehan, J., Koff, R. S., &amp; Shapiro, S. (1996). Risk of aspirin-associated major upper-gastrointestinal bleeding with enteric-coated or buffered product. </w:t>
      </w:r>
      <w:r w:rsidRPr="00F01FD3">
        <w:rPr>
          <w:i/>
          <w:noProof/>
        </w:rPr>
        <w:t>The Lancet, 348</w:t>
      </w:r>
      <w:r w:rsidRPr="00F01FD3">
        <w:rPr>
          <w:noProof/>
        </w:rPr>
        <w:t xml:space="preserve">(9039), 1413-1416. </w:t>
      </w:r>
    </w:p>
    <w:p w14:paraId="4F80EA2A" w14:textId="77777777" w:rsidR="00F01FD3" w:rsidRPr="00F01FD3" w:rsidRDefault="00F01FD3" w:rsidP="00F01FD3">
      <w:pPr>
        <w:pStyle w:val="EndNoteBibliography"/>
        <w:ind w:left="720" w:hanging="720"/>
        <w:rPr>
          <w:noProof/>
        </w:rPr>
      </w:pPr>
      <w:r w:rsidRPr="00F01FD3">
        <w:rPr>
          <w:noProof/>
        </w:rPr>
        <w:t xml:space="preserve">Lesko, S. M., Louik, C., Vezina, R. M., &amp; Mitchell, A. A. (2002). Asthma morbidity after the short-term use of ibuprofen in children. </w:t>
      </w:r>
      <w:r w:rsidRPr="00F01FD3">
        <w:rPr>
          <w:i/>
          <w:noProof/>
        </w:rPr>
        <w:t>Pediatrics, 109</w:t>
      </w:r>
      <w:r w:rsidRPr="00F01FD3">
        <w:rPr>
          <w:noProof/>
        </w:rPr>
        <w:t xml:space="preserve">(2), e20-e20. </w:t>
      </w:r>
    </w:p>
    <w:p w14:paraId="758B7220" w14:textId="77777777" w:rsidR="00F01FD3" w:rsidRPr="00F01FD3" w:rsidRDefault="00F01FD3" w:rsidP="00F01FD3">
      <w:pPr>
        <w:pStyle w:val="EndNoteBibliography"/>
        <w:ind w:left="720" w:hanging="720"/>
        <w:rPr>
          <w:noProof/>
        </w:rPr>
      </w:pPr>
      <w:r w:rsidRPr="00F01FD3">
        <w:rPr>
          <w:noProof/>
        </w:rPr>
        <w:t xml:space="preserve">Martinez, B., Mathews, A. W., Lublin, J. S., &amp; Winslow, R. (2004). Merck pulls Vioxx from market after link to heart problems. </w:t>
      </w:r>
      <w:r w:rsidRPr="00F01FD3">
        <w:rPr>
          <w:i/>
          <w:noProof/>
        </w:rPr>
        <w:t>Wall Street Journal</w:t>
      </w:r>
      <w:r w:rsidRPr="00F01FD3">
        <w:rPr>
          <w:noProof/>
        </w:rPr>
        <w:t xml:space="preserve">, A1. </w:t>
      </w:r>
    </w:p>
    <w:p w14:paraId="4E01BE46" w14:textId="77777777" w:rsidR="00F01FD3" w:rsidRPr="00F01FD3" w:rsidRDefault="00F01FD3" w:rsidP="00F01FD3">
      <w:pPr>
        <w:pStyle w:val="EndNoteBibliography"/>
        <w:ind w:left="720" w:hanging="720"/>
        <w:rPr>
          <w:noProof/>
        </w:rPr>
      </w:pPr>
      <w:r w:rsidRPr="00F01FD3">
        <w:rPr>
          <w:noProof/>
        </w:rPr>
        <w:t xml:space="preserve">Mukherjee, D., Nissen, S. E., &amp; Topol, E. J. (2001). Risk of cardiovascular events associated with selective COX-2 inhibitors. </w:t>
      </w:r>
      <w:r w:rsidRPr="00F01FD3">
        <w:rPr>
          <w:i/>
          <w:noProof/>
        </w:rPr>
        <w:t>JAMA, 286</w:t>
      </w:r>
      <w:r w:rsidRPr="00F01FD3">
        <w:rPr>
          <w:noProof/>
        </w:rPr>
        <w:t xml:space="preserve">(8), 954-959. </w:t>
      </w:r>
    </w:p>
    <w:p w14:paraId="56758708" w14:textId="77777777" w:rsidR="00F01FD3" w:rsidRPr="00F01FD3" w:rsidRDefault="00F01FD3" w:rsidP="00F01FD3">
      <w:pPr>
        <w:pStyle w:val="EndNoteBibliography"/>
        <w:ind w:left="720" w:hanging="720"/>
        <w:rPr>
          <w:noProof/>
        </w:rPr>
      </w:pPr>
      <w:r w:rsidRPr="00F01FD3">
        <w:rPr>
          <w:noProof/>
        </w:rPr>
        <w:t xml:space="preserve">Raghupathi, W., &amp; Raghupathi, V. (2014). Big data analytics in healthcare: promise and potential. </w:t>
      </w:r>
      <w:r w:rsidRPr="00F01FD3">
        <w:rPr>
          <w:i/>
          <w:noProof/>
        </w:rPr>
        <w:t>Health information science systems, 2</w:t>
      </w:r>
      <w:r w:rsidRPr="00F01FD3">
        <w:rPr>
          <w:noProof/>
        </w:rPr>
        <w:t>(</w:t>
      </w:r>
      <w:bookmarkStart w:id="0" w:name="_GoBack"/>
      <w:bookmarkEnd w:id="0"/>
      <w:r w:rsidRPr="00F01FD3">
        <w:rPr>
          <w:noProof/>
        </w:rPr>
        <w:t xml:space="preserve">1), 3. </w:t>
      </w:r>
    </w:p>
    <w:p w14:paraId="64E6CD17" w14:textId="77777777" w:rsidR="00F01FD3" w:rsidRPr="00F01FD3" w:rsidRDefault="00F01FD3" w:rsidP="00F01FD3">
      <w:pPr>
        <w:pStyle w:val="EndNoteBibliography"/>
        <w:ind w:left="720" w:hanging="720"/>
        <w:rPr>
          <w:noProof/>
        </w:rPr>
      </w:pPr>
      <w:r w:rsidRPr="00F01FD3">
        <w:rPr>
          <w:noProof/>
        </w:rPr>
        <w:t xml:space="preserve">Ray, W. A., Stein, C. M., Daugherty, J. R., Hall, K., Arbogast, P. G., &amp; Griffin, M. R. (2002). COX-2 selective non-steroidal anti-inflammatory drugs and risk of serious coronary heart disease. </w:t>
      </w:r>
      <w:r w:rsidRPr="00F01FD3">
        <w:rPr>
          <w:i/>
          <w:noProof/>
        </w:rPr>
        <w:t>The Lancet, 360</w:t>
      </w:r>
      <w:r w:rsidRPr="00F01FD3">
        <w:rPr>
          <w:noProof/>
        </w:rPr>
        <w:t xml:space="preserve">(9339), 1071-1073. </w:t>
      </w:r>
    </w:p>
    <w:p w14:paraId="00C5A377" w14:textId="77777777" w:rsidR="00F01FD3" w:rsidRPr="00F01FD3" w:rsidRDefault="00F01FD3" w:rsidP="00F01FD3">
      <w:pPr>
        <w:pStyle w:val="EndNoteBibliography"/>
        <w:ind w:left="720" w:hanging="720"/>
        <w:rPr>
          <w:noProof/>
        </w:rPr>
      </w:pPr>
      <w:r w:rsidRPr="00F01FD3">
        <w:rPr>
          <w:noProof/>
        </w:rPr>
        <w:t xml:space="preserve">Sanak, M., Simon, H.-U., &amp; Szczeklik, A. (1997). Leukotriene C4 synthase promoter polymorphism and risk of aspirin-induced asthma. </w:t>
      </w:r>
      <w:r w:rsidRPr="00F01FD3">
        <w:rPr>
          <w:i/>
          <w:noProof/>
        </w:rPr>
        <w:t>Lancet, 350</w:t>
      </w:r>
      <w:r w:rsidRPr="00F01FD3">
        <w:rPr>
          <w:noProof/>
        </w:rPr>
        <w:t xml:space="preserve">(9091), 1599-1599. </w:t>
      </w:r>
    </w:p>
    <w:p w14:paraId="7DEDA4DA" w14:textId="2C6CEB58" w:rsidR="00F01FD3" w:rsidRPr="00F01FD3" w:rsidRDefault="00F01FD3" w:rsidP="00F01FD3">
      <w:pPr>
        <w:pStyle w:val="EndNoteBibliography"/>
        <w:ind w:left="720" w:hanging="720"/>
        <w:rPr>
          <w:noProof/>
        </w:rPr>
      </w:pPr>
      <w:r w:rsidRPr="00F01FD3">
        <w:rPr>
          <w:noProof/>
        </w:rPr>
        <w:t xml:space="preserve">Vioxx price increase. (2000). Retrieved from </w:t>
      </w:r>
      <w:hyperlink r:id="rId12" w:history="1">
        <w:r w:rsidRPr="00F01FD3">
          <w:rPr>
            <w:rStyle w:val="Hyperlink"/>
            <w:noProof/>
          </w:rPr>
          <w:t>https://pink.pharmaintelligence.informa.com/PS036997/Vioxx-price-increase</w:t>
        </w:r>
      </w:hyperlink>
    </w:p>
    <w:p w14:paraId="71516BB1" w14:textId="77777777" w:rsidR="00F01FD3" w:rsidRPr="00F01FD3" w:rsidRDefault="00F01FD3" w:rsidP="00F01FD3">
      <w:pPr>
        <w:pStyle w:val="EndNoteBibliography"/>
        <w:ind w:left="720" w:hanging="720"/>
        <w:rPr>
          <w:noProof/>
        </w:rPr>
      </w:pPr>
      <w:r w:rsidRPr="00F01FD3">
        <w:rPr>
          <w:noProof/>
        </w:rPr>
        <w:t xml:space="preserve">Wang, S. D. (2013). Opportunities and challenges of clinical research in the big-data era: from RCT to BCT. </w:t>
      </w:r>
      <w:r w:rsidRPr="00F01FD3">
        <w:rPr>
          <w:i/>
          <w:noProof/>
        </w:rPr>
        <w:t>Journal of thoracic disease, 5</w:t>
      </w:r>
      <w:r w:rsidRPr="00F01FD3">
        <w:rPr>
          <w:noProof/>
        </w:rPr>
        <w:t xml:space="preserve">(6), 721. </w:t>
      </w:r>
    </w:p>
    <w:p w14:paraId="43F7A761" w14:textId="20DA49E4" w:rsidR="00B550C7" w:rsidRPr="00A23F73" w:rsidRDefault="00191D9D" w:rsidP="00B85CC4">
      <w:pPr>
        <w:spacing w:before="240" w:after="120"/>
        <w:ind w:left="360"/>
        <w:rPr>
          <w:rFonts w:ascii="Arial" w:hAnsi="Arial" w:cs="Arial"/>
          <w:b/>
          <w:bCs/>
        </w:rPr>
      </w:pPr>
      <w:r>
        <w:rPr>
          <w:rFonts w:ascii="Arial" w:hAnsi="Arial" w:cs="Arial"/>
          <w:b/>
          <w:bCs/>
        </w:rPr>
        <w:fldChar w:fldCharType="end"/>
      </w:r>
    </w:p>
    <w:sectPr w:rsidR="00B550C7" w:rsidRPr="00A23F73" w:rsidSect="000F5DE6">
      <w:headerReference w:type="default" r:id="rId13"/>
      <w:footerReference w:type="default" r:id="rId14"/>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6B282" w14:textId="77777777" w:rsidR="007C286B" w:rsidRDefault="007C286B" w:rsidP="008166B3">
      <w:r>
        <w:separator/>
      </w:r>
    </w:p>
  </w:endnote>
  <w:endnote w:type="continuationSeparator" w:id="0">
    <w:p w14:paraId="743C1FF1" w14:textId="77777777" w:rsidR="007C286B" w:rsidRDefault="007C286B"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3E544F02"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7713D4">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7D811" w14:textId="77777777" w:rsidR="007C286B" w:rsidRDefault="007C286B" w:rsidP="008166B3">
      <w:r>
        <w:separator/>
      </w:r>
    </w:p>
  </w:footnote>
  <w:footnote w:type="continuationSeparator" w:id="0">
    <w:p w14:paraId="4BE8A664" w14:textId="77777777" w:rsidR="007C286B" w:rsidRDefault="007C286B"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13E5F55B" w:rsidR="000E32F6" w:rsidRPr="00C214D5" w:rsidRDefault="007C286B">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1C6D">
          <w:rPr>
            <w:color w:val="4472C4" w:themeColor="accent1"/>
            <w:sz w:val="22"/>
            <w:szCs w:val="22"/>
          </w:rPr>
          <w:t>Case Study #1 – Cardiovascular: Vioxx</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87EDE">
          <w:rPr>
            <w:color w:val="4472C4" w:themeColor="accent1"/>
            <w:sz w:val="22"/>
            <w:szCs w:val="22"/>
          </w:rPr>
          <w:t>Xia, Hui</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BF09E9"/>
    <w:multiLevelType w:val="hybridMultilevel"/>
    <w:tmpl w:val="FC84159C"/>
    <w:lvl w:ilvl="0" w:tplc="3CA29FA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3456A6C"/>
    <w:multiLevelType w:val="multilevel"/>
    <w:tmpl w:val="0A3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4"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29"/>
  </w:num>
  <w:num w:numId="4">
    <w:abstractNumId w:val="16"/>
  </w:num>
  <w:num w:numId="5">
    <w:abstractNumId w:val="31"/>
  </w:num>
  <w:num w:numId="6">
    <w:abstractNumId w:val="4"/>
  </w:num>
  <w:num w:numId="7">
    <w:abstractNumId w:val="21"/>
  </w:num>
  <w:num w:numId="8">
    <w:abstractNumId w:val="11"/>
  </w:num>
  <w:num w:numId="9">
    <w:abstractNumId w:val="23"/>
  </w:num>
  <w:num w:numId="10">
    <w:abstractNumId w:val="6"/>
  </w:num>
  <w:num w:numId="11">
    <w:abstractNumId w:val="43"/>
  </w:num>
  <w:num w:numId="12">
    <w:abstractNumId w:val="17"/>
  </w:num>
  <w:num w:numId="13">
    <w:abstractNumId w:val="42"/>
  </w:num>
  <w:num w:numId="14">
    <w:abstractNumId w:val="19"/>
  </w:num>
  <w:num w:numId="15">
    <w:abstractNumId w:val="2"/>
  </w:num>
  <w:num w:numId="16">
    <w:abstractNumId w:val="5"/>
  </w:num>
  <w:num w:numId="17">
    <w:abstractNumId w:val="10"/>
  </w:num>
  <w:num w:numId="18">
    <w:abstractNumId w:val="15"/>
  </w:num>
  <w:num w:numId="19">
    <w:abstractNumId w:val="20"/>
  </w:num>
  <w:num w:numId="20">
    <w:abstractNumId w:val="25"/>
  </w:num>
  <w:num w:numId="21">
    <w:abstractNumId w:val="41"/>
  </w:num>
  <w:num w:numId="22">
    <w:abstractNumId w:val="44"/>
  </w:num>
  <w:num w:numId="23">
    <w:abstractNumId w:val="36"/>
  </w:num>
  <w:num w:numId="24">
    <w:abstractNumId w:val="39"/>
  </w:num>
  <w:num w:numId="25">
    <w:abstractNumId w:val="38"/>
  </w:num>
  <w:num w:numId="26">
    <w:abstractNumId w:val="32"/>
  </w:num>
  <w:num w:numId="27">
    <w:abstractNumId w:val="27"/>
  </w:num>
  <w:num w:numId="28">
    <w:abstractNumId w:val="35"/>
  </w:num>
  <w:num w:numId="29">
    <w:abstractNumId w:val="30"/>
  </w:num>
  <w:num w:numId="30">
    <w:abstractNumId w:val="33"/>
  </w:num>
  <w:num w:numId="31">
    <w:abstractNumId w:val="37"/>
  </w:num>
  <w:num w:numId="32">
    <w:abstractNumId w:val="28"/>
  </w:num>
  <w:num w:numId="33">
    <w:abstractNumId w:val="13"/>
  </w:num>
  <w:num w:numId="34">
    <w:abstractNumId w:val="18"/>
  </w:num>
  <w:num w:numId="35">
    <w:abstractNumId w:val="3"/>
  </w:num>
  <w:num w:numId="36">
    <w:abstractNumId w:val="24"/>
  </w:num>
  <w:num w:numId="37">
    <w:abstractNumId w:val="7"/>
  </w:num>
  <w:num w:numId="38">
    <w:abstractNumId w:val="9"/>
  </w:num>
  <w:num w:numId="39">
    <w:abstractNumId w:val="40"/>
  </w:num>
  <w:num w:numId="40">
    <w:abstractNumId w:val="14"/>
  </w:num>
  <w:num w:numId="41">
    <w:abstractNumId w:val="12"/>
  </w:num>
  <w:num w:numId="42">
    <w:abstractNumId w:val="8"/>
  </w:num>
  <w:num w:numId="43">
    <w:abstractNumId w:val="0"/>
  </w:num>
  <w:num w:numId="44">
    <w:abstractNumId w:val="2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aad2zfjsszzoe59dexvzxcp25sf52vf52v&quot;&gt;Case_Study_1&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69E5"/>
    <w:rsid w:val="00051949"/>
    <w:rsid w:val="0005216E"/>
    <w:rsid w:val="00057D6D"/>
    <w:rsid w:val="00067F8C"/>
    <w:rsid w:val="000740F1"/>
    <w:rsid w:val="00093536"/>
    <w:rsid w:val="00093668"/>
    <w:rsid w:val="00094F26"/>
    <w:rsid w:val="000A0D9C"/>
    <w:rsid w:val="000A2ACC"/>
    <w:rsid w:val="000A2AE1"/>
    <w:rsid w:val="000A7CA3"/>
    <w:rsid w:val="000B41CB"/>
    <w:rsid w:val="000B5E4F"/>
    <w:rsid w:val="000B69D5"/>
    <w:rsid w:val="000C015C"/>
    <w:rsid w:val="000C083C"/>
    <w:rsid w:val="000C14A8"/>
    <w:rsid w:val="000C33B8"/>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25BE"/>
    <w:rsid w:val="00187F37"/>
    <w:rsid w:val="001901A5"/>
    <w:rsid w:val="00191D9D"/>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0069"/>
    <w:rsid w:val="002F1910"/>
    <w:rsid w:val="002F2F04"/>
    <w:rsid w:val="002F4B63"/>
    <w:rsid w:val="002F5BA4"/>
    <w:rsid w:val="002F7A7A"/>
    <w:rsid w:val="00300D3B"/>
    <w:rsid w:val="003040F5"/>
    <w:rsid w:val="00312255"/>
    <w:rsid w:val="0031243C"/>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D5B"/>
    <w:rsid w:val="003B03E6"/>
    <w:rsid w:val="003B6E0F"/>
    <w:rsid w:val="003C4653"/>
    <w:rsid w:val="003C7C2A"/>
    <w:rsid w:val="003D14B4"/>
    <w:rsid w:val="003D6831"/>
    <w:rsid w:val="003E0785"/>
    <w:rsid w:val="003E3274"/>
    <w:rsid w:val="003E7F18"/>
    <w:rsid w:val="003F0B50"/>
    <w:rsid w:val="003F1FB3"/>
    <w:rsid w:val="003F3346"/>
    <w:rsid w:val="003F6836"/>
    <w:rsid w:val="003F68DF"/>
    <w:rsid w:val="00404D7C"/>
    <w:rsid w:val="0040702E"/>
    <w:rsid w:val="00410893"/>
    <w:rsid w:val="00417506"/>
    <w:rsid w:val="0041775E"/>
    <w:rsid w:val="00426CC1"/>
    <w:rsid w:val="004301EC"/>
    <w:rsid w:val="00437532"/>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DD2"/>
    <w:rsid w:val="00624F44"/>
    <w:rsid w:val="00630E42"/>
    <w:rsid w:val="00631E56"/>
    <w:rsid w:val="00632F20"/>
    <w:rsid w:val="00632F50"/>
    <w:rsid w:val="00635547"/>
    <w:rsid w:val="0063698E"/>
    <w:rsid w:val="00636DF3"/>
    <w:rsid w:val="00642304"/>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298A"/>
    <w:rsid w:val="0072221D"/>
    <w:rsid w:val="007229ED"/>
    <w:rsid w:val="00722A34"/>
    <w:rsid w:val="0072449B"/>
    <w:rsid w:val="00726F7C"/>
    <w:rsid w:val="00731F61"/>
    <w:rsid w:val="00737DF0"/>
    <w:rsid w:val="00740F40"/>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5EC3"/>
    <w:rsid w:val="008E0D19"/>
    <w:rsid w:val="008E2A9C"/>
    <w:rsid w:val="008E5BE9"/>
    <w:rsid w:val="008E664F"/>
    <w:rsid w:val="008E6725"/>
    <w:rsid w:val="008F778D"/>
    <w:rsid w:val="009025DC"/>
    <w:rsid w:val="00903CC5"/>
    <w:rsid w:val="0090639B"/>
    <w:rsid w:val="00924394"/>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853F1"/>
    <w:rsid w:val="00A92E5D"/>
    <w:rsid w:val="00A94C31"/>
    <w:rsid w:val="00A9678F"/>
    <w:rsid w:val="00AB1B9C"/>
    <w:rsid w:val="00AB2512"/>
    <w:rsid w:val="00AC1776"/>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91D4E"/>
    <w:rsid w:val="00BA5BA0"/>
    <w:rsid w:val="00BA68D7"/>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000B"/>
    <w:rsid w:val="00C642EC"/>
    <w:rsid w:val="00C64500"/>
    <w:rsid w:val="00C6533A"/>
    <w:rsid w:val="00C662B1"/>
    <w:rsid w:val="00C7078F"/>
    <w:rsid w:val="00C73D68"/>
    <w:rsid w:val="00C759A0"/>
    <w:rsid w:val="00C76C22"/>
    <w:rsid w:val="00C7784D"/>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926"/>
    <w:rsid w:val="00D53B77"/>
    <w:rsid w:val="00D5498E"/>
    <w:rsid w:val="00D5696D"/>
    <w:rsid w:val="00D56BAB"/>
    <w:rsid w:val="00D56E8E"/>
    <w:rsid w:val="00D5781A"/>
    <w:rsid w:val="00D61602"/>
    <w:rsid w:val="00D631F0"/>
    <w:rsid w:val="00D6321B"/>
    <w:rsid w:val="00D751DD"/>
    <w:rsid w:val="00D77646"/>
    <w:rsid w:val="00D83427"/>
    <w:rsid w:val="00D838B3"/>
    <w:rsid w:val="00DA03FF"/>
    <w:rsid w:val="00DA07DA"/>
    <w:rsid w:val="00DA1542"/>
    <w:rsid w:val="00DA1C6D"/>
    <w:rsid w:val="00DB43CD"/>
    <w:rsid w:val="00DB64B4"/>
    <w:rsid w:val="00DC2607"/>
    <w:rsid w:val="00DC6FB4"/>
    <w:rsid w:val="00DD312B"/>
    <w:rsid w:val="00DD4E18"/>
    <w:rsid w:val="00DE72C2"/>
    <w:rsid w:val="00DE7FF8"/>
    <w:rsid w:val="00DF04D2"/>
    <w:rsid w:val="00DF16EF"/>
    <w:rsid w:val="00DF559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01FD3"/>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styleId="UnresolvedMention">
    <w:name w:val="Unresolved Mention"/>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nk.pharmaintelligence.informa.com/PS036997/Vioxx-price-incre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harvard.edu/heart-health/alternatives-to-vioxx-if-heart-disease-present--thefamily-health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buprofen" TargetMode="External"/><Relationship Id="rId4" Type="http://schemas.openxmlformats.org/officeDocument/2006/relationships/settings" Target="settings.xml"/><Relationship Id="rId9" Type="http://schemas.openxmlformats.org/officeDocument/2006/relationships/hyperlink" Target="https://en.wikipedia.org/wiki/Aspir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4</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Case Study #1 – Cardiovascular: Vioxx</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Cardiovascular: Vioxx</dc:title>
  <dc:subject>CS6440 Intro Health Informatics, 2020 Spring</dc:subject>
  <dc:creator>Xia, Hui</dc:creator>
  <cp:keywords/>
  <dc:description/>
  <cp:lastModifiedBy>Xia Hui</cp:lastModifiedBy>
  <cp:revision>17</cp:revision>
  <cp:lastPrinted>2019-01-18T04:30:00Z</cp:lastPrinted>
  <dcterms:created xsi:type="dcterms:W3CDTF">2019-01-18T04:30:00Z</dcterms:created>
  <dcterms:modified xsi:type="dcterms:W3CDTF">2020-01-14T00:29:00Z</dcterms:modified>
  <cp:category/>
</cp:coreProperties>
</file>