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黑体"/>
          <w:b w:val="0"/>
          <w:sz w:val="32"/>
        </w:rPr>
        <w:t>第5章测试用例表（三线表规范格式版）</w:t>
      </w:r>
    </w:p>
    <w:p>
      <w:pPr>
        <w:spacing w:before="0" w:after="120"/>
        <w:ind w:firstLine="482"/>
        <w:jc w:val="left"/>
      </w:pPr>
      <w:r>
        <w:rPr>
          <w:rFonts w:ascii="Times New Roman" w:hAnsi="Times New Roman" w:eastAsia="宋体"/>
          <w:b w:val="0"/>
          <w:sz w:val="24"/>
        </w:rPr>
        <w:t>说明：本版按照表格规范调整字号和字体。表题采用五号楷体，置于表上方；表内中文采用宋体小四，英文和数字采用 Times New Roman 小四；表号按第 5 章顺序编号。</w:t>
      </w: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5-1 用户注册登录测试用例及执行结果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275"/>
        <w:gridCol w:w="1162"/>
        <w:gridCol w:w="2353"/>
        <w:gridCol w:w="2835"/>
        <w:gridCol w:w="2466"/>
        <w:gridCol w:w="2551"/>
        <w:gridCol w:w="652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27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1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2353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测试步骤或输入</w:t>
            </w:r>
          </w:p>
        </w:tc>
        <w:tc>
          <w:tcPr>
            <w:tcW w:type="dxa" w:w="2466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预期结果</w:t>
            </w:r>
          </w:p>
        </w:tc>
        <w:tc>
          <w:tcPr>
            <w:tcW w:type="dxa" w:w="25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实际结果</w:t>
            </w:r>
          </w:p>
        </w:tc>
        <w:tc>
          <w:tcPr>
            <w:tcW w:type="dxa" w:w="65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T01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用户认证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用户注册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系统已启动，数据库中不存在待注册用户名。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在注册页面输入用户名 test_user、密码 123456，提交注册请求。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注册成功，后端返回用户信息和 Token，前端可进入系统。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接口返回成功状态，页面显示登录用户信息，用户记录写入数据库。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T02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用户认证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用户登录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已存在普通用户账号，账号未被封禁。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输入正确用户名和密码，点击登录按钮。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登录成功并进入首页，Token 保存到前端本地会话。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页面跳转首页，localStorage 中存在 token 和 user 信息。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T03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用户认证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登录状态保持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用户已完成登录并保存本地会话。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刷新浏览器页面或重新进入系统首页。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系统保持登录状态，受保护页面可正常访问。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刷新后仍显示当前用户信息，首页信息流正常加载。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T04</w:t>
            </w:r>
          </w:p>
        </w:tc>
        <w:tc>
          <w:tcPr>
            <w:tcW w:type="dxa" w:w="127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权限识别</w:t>
            </w:r>
          </w:p>
        </w:tc>
        <w:tc>
          <w:tcPr>
            <w:tcW w:type="dxa" w:w="11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角色识别</w:t>
            </w:r>
          </w:p>
        </w:tc>
        <w:tc>
          <w:tcPr>
            <w:tcW w:type="dxa" w:w="2353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系统中存在普通用户和管理员两个账号。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分别使用普通用户和管理员账号登录，访问首页和后台入口。</w:t>
            </w:r>
          </w:p>
        </w:tc>
        <w:tc>
          <w:tcPr>
            <w:tcW w:type="dxa" w:w="246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系统能够区分普通用户与管理员，后台入口按角色展示。</w:t>
            </w:r>
          </w:p>
        </w:tc>
        <w:tc>
          <w:tcPr>
            <w:tcW w:type="dxa" w:w="25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管理员可进入后台页面，普通用户后台入口受限制。</w:t>
            </w:r>
          </w:p>
        </w:tc>
        <w:tc>
          <w:tcPr>
            <w:tcW w:type="dxa" w:w="65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5-2 内容发布与互动功能测试用例及执行结果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275"/>
        <w:gridCol w:w="1162"/>
        <w:gridCol w:w="2353"/>
        <w:gridCol w:w="2835"/>
        <w:gridCol w:w="2466"/>
        <w:gridCol w:w="2551"/>
        <w:gridCol w:w="652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27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1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2353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测试步骤或输入</w:t>
            </w:r>
          </w:p>
        </w:tc>
        <w:tc>
          <w:tcPr>
            <w:tcW w:type="dxa" w:w="2466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预期结果</w:t>
            </w:r>
          </w:p>
        </w:tc>
        <w:tc>
          <w:tcPr>
            <w:tcW w:type="dxa" w:w="25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实际结果</w:t>
            </w:r>
          </w:p>
        </w:tc>
        <w:tc>
          <w:tcPr>
            <w:tcW w:type="dxa" w:w="65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T05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内容发布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文字发帖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普通用户已登录，首页发布区域可用。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输入一段文本内容并点击发布按钮。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帖子保存成功，并出现在首页信息流中。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新帖子在列表中展示，内容表生成对应记录。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T06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内容发布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图片发帖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普通用户已登录，上传接口可访问。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选择本地图片上传，上传成功后连同正文提交帖子。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图片地址保存成功，帖子卡片能够展示图片。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后端返回图片 URL，首页帖子中显示对应图片内容。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T07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内容互动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评论功能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普通用户已登录，目标帖子存在。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打开目标帖子评论框，输入评论内容并提交。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评论内容展示在页面中，评论数增加。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页面显示评论文本，内容统计字段同步变化。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T08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内容互动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点赞点踩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普通用户已登录，目标帖子存在。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对目标帖子执行点赞或点踩操作。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对应计数发生变化，并写入用户行为记录。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页面按钮状态更新，Behavior 表产生对应 LIKE 或 DISLIKE 记录。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T09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内容互动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转发引用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普通用户已登录，目标帖子存在。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对已有帖子执行转发或引用操作。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系统生成关联内容，并更新原帖转发计数。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列表中出现关联帖子，原帖 repostCount 发生变化。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T10</w:t>
            </w:r>
          </w:p>
        </w:tc>
        <w:tc>
          <w:tcPr>
            <w:tcW w:type="dxa" w:w="127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权限控制</w:t>
            </w:r>
          </w:p>
        </w:tc>
        <w:tc>
          <w:tcPr>
            <w:tcW w:type="dxa" w:w="11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删除权限判断</w:t>
            </w:r>
          </w:p>
        </w:tc>
        <w:tc>
          <w:tcPr>
            <w:tcW w:type="dxa" w:w="2353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存在当前用户本人帖子和其他用户帖子。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分别对本人内容和他人内容执行删除操作。</w:t>
            </w:r>
          </w:p>
        </w:tc>
        <w:tc>
          <w:tcPr>
            <w:tcW w:type="dxa" w:w="246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本人内容可删除，非本人内容受权限限制或提示失败。</w:t>
            </w:r>
          </w:p>
        </w:tc>
        <w:tc>
          <w:tcPr>
            <w:tcW w:type="dxa" w:w="25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本人帖子删除成功；他人帖子删除请求被限制或无法完成。</w:t>
            </w:r>
          </w:p>
        </w:tc>
        <w:tc>
          <w:tcPr>
            <w:tcW w:type="dxa" w:w="65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5-3 社交关系与实时通信测试用例及执行结果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275"/>
        <w:gridCol w:w="1162"/>
        <w:gridCol w:w="2353"/>
        <w:gridCol w:w="2835"/>
        <w:gridCol w:w="2466"/>
        <w:gridCol w:w="2551"/>
        <w:gridCol w:w="652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27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1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2353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测试步骤或输入</w:t>
            </w:r>
          </w:p>
        </w:tc>
        <w:tc>
          <w:tcPr>
            <w:tcW w:type="dxa" w:w="2466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预期结果</w:t>
            </w:r>
          </w:p>
        </w:tc>
        <w:tc>
          <w:tcPr>
            <w:tcW w:type="dxa" w:w="25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实际结果</w:t>
            </w:r>
          </w:p>
        </w:tc>
        <w:tc>
          <w:tcPr>
            <w:tcW w:type="dxa" w:w="65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T11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社交关系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关注用户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A、用户 B 均已存在并可登录。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 进入用户 B 主页并点击关注。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关注状态变为已关注，关注关系写入数据库。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页面按钮状态变化，Follow 表生成 A 到 B 的关注记录。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T12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社交关系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关注流展示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 已关注用户 B，用户 B 存在已发布内容。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 切换到 Following 信息流。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关注流仅展示已关注作者发布的内容。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Following 列表优先显示用户 B 发布的帖子。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T13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通知推送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点赞通知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A、B 均存在，B 已发布帖子。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 对用户 B 的帖子执行点赞。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B 能收到点赞通知。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通知列表生成点赞通知，未读状态随之变化。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T14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通知推送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评论通知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A、B 均存在，B 已发布帖子。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 对用户 B 的帖子发表评论。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B 能收到评论通知。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通知列表出现评论事件，通知内容与目标帖子关联。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T15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私信通信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私信发送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A、B 均已登录或存在可接收会话。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 A 向用户 B 发送私信内容。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会话双方能够看到消息记录。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私信列表新增消息，Message 表保存发送人与接收人信息。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T16</w:t>
            </w:r>
          </w:p>
        </w:tc>
        <w:tc>
          <w:tcPr>
            <w:tcW w:type="dxa" w:w="127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消息状态</w:t>
            </w:r>
          </w:p>
        </w:tc>
        <w:tc>
          <w:tcPr>
            <w:tcW w:type="dxa" w:w="11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未读状态</w:t>
            </w:r>
          </w:p>
        </w:tc>
        <w:tc>
          <w:tcPr>
            <w:tcW w:type="dxa" w:w="2353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用户收到通知或私信后尚未读取。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打开通知列表或私信会话，并执行查看操作。</w:t>
            </w:r>
          </w:p>
        </w:tc>
        <w:tc>
          <w:tcPr>
            <w:tcW w:type="dxa" w:w="246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未读数量正确变化，可标记为已读。</w:t>
            </w:r>
          </w:p>
        </w:tc>
        <w:tc>
          <w:tcPr>
            <w:tcW w:type="dxa" w:w="25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页面未读徽标减少，对应记录 isRead 状态更新。</w:t>
            </w:r>
          </w:p>
        </w:tc>
        <w:tc>
          <w:tcPr>
            <w:tcW w:type="dxa" w:w="65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5-4 推荐排序与用户画像测试用例及执行结果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275"/>
        <w:gridCol w:w="1162"/>
        <w:gridCol w:w="2353"/>
        <w:gridCol w:w="2835"/>
        <w:gridCol w:w="2466"/>
        <w:gridCol w:w="2551"/>
        <w:gridCol w:w="652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27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1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2353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测试步骤或输入</w:t>
            </w:r>
          </w:p>
        </w:tc>
        <w:tc>
          <w:tcPr>
            <w:tcW w:type="dxa" w:w="2466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预期结果</w:t>
            </w:r>
          </w:p>
        </w:tc>
        <w:tc>
          <w:tcPr>
            <w:tcW w:type="dxa" w:w="25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实际结果</w:t>
            </w:r>
          </w:p>
        </w:tc>
        <w:tc>
          <w:tcPr>
            <w:tcW w:type="dxa" w:w="65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T17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推荐排序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推荐流访问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普通用户已登录，系统存在可推荐内容。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进入首页并访问 For You 个性化推荐流。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接口返回带排序结果的信息流列表。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首页展示推荐内容，结果中包含推荐策略或评分相关信息。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T18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推荐排序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标签匹配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用户已对某类标签内容产生点赞、评论或浏览行为。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刷新 For You 推荐流，观察同类标签内容排序和评分变化。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同类标签内容推荐得分提高。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同类内容排序上升，评分明细中标签亲和度产生加成。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T19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推荐排序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时间衰减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候选集中同时存在新内容和较旧内容。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对比新旧内容在推荐流中的评分表现。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新内容获得更高新鲜度优势。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较新的帖子在 timeDecay 或 freshness 相关分项中表现更优。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T20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负反馈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负反馈过滤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用户已登录，目标内容或目标作者存在。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对内容选择不感兴趣，或屏蔽对应作者后刷新推荐流。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对应内容不再进入推荐候选，或排序明显降低。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刷新后目标内容被过滤或得分降低，负反馈生效。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T21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协同过滤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协同过滤加成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测试数据中存在与当前用户行为相似的用户。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构造相似用户点赞内容后刷新推荐流。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相似用户喜欢的内容获得协同过滤加成。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候选内容在 collaborativeBoost 分项中产生加成。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T22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推荐多样性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作者多样性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候选集中存在同一作者多篇内容。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查看推荐结果中同作者内容连续出现情况。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同作者后续内容被适当降权，列表来源更分散。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同一作者内容未长期连续占据前列，作者去重率保持合理。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T23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算法对比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推荐对比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系统存在推荐结果和时间倒序结果。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打开 CompareView 页面查看双栏对比。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页面展示推荐流与时间流对比指标。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平均推荐分、标签命中率、TF-IDF 均值等指标正常展示。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T24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参数调节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权重调节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CompareView 页面可访问，WeightTuner 组件可用。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调整推荐权重并提交，观察调参后的接口输出。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调用接口后推荐指标发生变化。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/api/compare/tuned 返回新指标，页面图表随权重变化更新。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T25</w:t>
            </w:r>
          </w:p>
        </w:tc>
        <w:tc>
          <w:tcPr>
            <w:tcW w:type="dxa" w:w="127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用户画像</w:t>
            </w:r>
          </w:p>
        </w:tc>
        <w:tc>
          <w:tcPr>
            <w:tcW w:type="dxa" w:w="11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画像展示</w:t>
            </w:r>
          </w:p>
        </w:tc>
        <w:tc>
          <w:tcPr>
            <w:tcW w:type="dxa" w:w="2353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用户已产生一定浏览、点赞、评论或搜索行为。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打开个人画像页面或画像详情组件。</w:t>
            </w:r>
          </w:p>
        </w:tc>
        <w:tc>
          <w:tcPr>
            <w:tcW w:type="dxa" w:w="246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展示词云、雷达图、偏好统计或近期兴趣序列。</w:t>
            </w:r>
          </w:p>
        </w:tc>
        <w:tc>
          <w:tcPr>
            <w:tcW w:type="dxa" w:w="25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页面展示兴趣标签、行为偏好和画像统计信息。</w:t>
            </w:r>
          </w:p>
        </w:tc>
        <w:tc>
          <w:tcPr>
            <w:tcW w:type="dxa" w:w="65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p>
      <w:pPr>
        <w:spacing w:before="160" w:after="60"/>
        <w:jc w:val="center"/>
      </w:pPr>
      <w:r>
        <w:rPr>
          <w:rFonts w:ascii="Times New Roman" w:hAnsi="Times New Roman" w:eastAsia="楷体"/>
          <w:b w:val="0"/>
          <w:sz w:val="21"/>
        </w:rPr>
        <w:t>表 5-5 AI 模块、广告分发与后台管理测试用例及执行结果</w:t>
      </w:r>
    </w:p>
    <w:tbl>
      <w:tblPr>
        <w:tblW w:type="dxa" w:w="14231"/>
        <w:jc w:val="center"/>
        <w:tblLayout w:type="fixed"/>
        <w:tblLook w:firstColumn="1" w:firstRow="1" w:lastColumn="0" w:lastRow="0" w:noHBand="0" w:noVBand="1" w:val="04A0"/>
      </w:tblPr>
      <w:tblGrid>
        <w:gridCol w:w="935"/>
        <w:gridCol w:w="1275"/>
        <w:gridCol w:w="1162"/>
        <w:gridCol w:w="2353"/>
        <w:gridCol w:w="2835"/>
        <w:gridCol w:w="2466"/>
        <w:gridCol w:w="2551"/>
        <w:gridCol w:w="652"/>
      </w:tblGrid>
      <w:tr>
        <w:tc>
          <w:tcPr>
            <w:tcW w:type="dxa" w:w="9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用例编号</w:t>
            </w:r>
          </w:p>
        </w:tc>
        <w:tc>
          <w:tcPr>
            <w:tcW w:type="dxa" w:w="127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type="dxa" w:w="116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测试项</w:t>
            </w:r>
          </w:p>
        </w:tc>
        <w:tc>
          <w:tcPr>
            <w:tcW w:type="dxa" w:w="2353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前置条件</w:t>
            </w:r>
          </w:p>
        </w:tc>
        <w:tc>
          <w:tcPr>
            <w:tcW w:type="dxa" w:w="2835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测试步骤或输入</w:t>
            </w:r>
          </w:p>
        </w:tc>
        <w:tc>
          <w:tcPr>
            <w:tcW w:type="dxa" w:w="2466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预期结果</w:t>
            </w:r>
          </w:p>
        </w:tc>
        <w:tc>
          <w:tcPr>
            <w:tcW w:type="dxa" w:w="2551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实际结果</w:t>
            </w:r>
          </w:p>
        </w:tc>
        <w:tc>
          <w:tcPr>
            <w:tcW w:type="dxa" w:w="652"/>
            <w:vAlign w:val="center"/>
            <w:tcBorders>
              <w:top w:val="single" w:sz="12" w:space="0" w:color="000000"/>
              <w:bottom w:val="single" w:sz="8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结论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T26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后台管理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推荐策略切换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管理员已登录，后台策略接口可访问。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在后台将推荐策略在 traditional 与 ai 之间切换。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策略切换成功，Feed 徽标和接口结果同步变化。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后台返回成功状态，首页显示对应推荐策略标识。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T27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推荐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推荐模式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Ollama 服务可用，AI 推荐策略已开启。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切换 AI 推荐模式并请求推荐流。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系统返回 AI 排序结果或推荐理由。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推荐列表正常返回，部分内容带有 AI 推荐理由或排序结果。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T28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降级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模型异常降级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推荐策略开启后，关闭或模拟 Ollama 服务不可用。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再次请求 AI 推荐流。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系统自动降级为传统排序，信息流仍可返回。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接口未中断，推荐流按基础互动排序或传统混合策略返回。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T29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打标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 自动打标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内容库中存在未打标或标签不足的帖子。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管理员执行 AI 批量打标或单条打标操作。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系统为帖子生成内容标签。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内容标签得到补充，标签可用于推荐和统计展示。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T30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后台管理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用户管理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管理员已登录后台。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进入用户管理页面，查看或修改用户状态。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用户信息能够正常显示或完成管理操作。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用户列表正常加载，角色或封禁等状态可被管理。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T31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数据导入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外部数据导入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管理员已登录，导入接口可访问。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执行公开数据集批量导入操作。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内容库新增帖子，或在导入不足时由内置内容库补齐。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导入完成后内容数量增加，候选内容更加丰富。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T32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广告分发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广告插入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广告配置已启用，首页存在足够信息流内容。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普通用户浏览首页 For You 信息流。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广告按配置间隔插入信息流。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信息流中出现原生广告卡片，普通内容加载不受影响。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T33</w:t>
            </w:r>
          </w:p>
        </w:tc>
        <w:tc>
          <w:tcPr>
            <w:tcW w:type="dxa" w:w="127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广告统计</w:t>
            </w:r>
          </w:p>
        </w:tc>
        <w:tc>
          <w:tcPr>
            <w:tcW w:type="dxa" w:w="116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广告点击统计</w:t>
            </w:r>
          </w:p>
        </w:tc>
        <w:tc>
          <w:tcPr>
            <w:tcW w:type="dxa" w:w="2353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信息流中存在可点击广告。</w:t>
            </w:r>
          </w:p>
        </w:tc>
        <w:tc>
          <w:tcPr>
            <w:tcW w:type="dxa" w:w="2835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点击广告卡片或广告跳转入口。</w:t>
            </w:r>
          </w:p>
        </w:tc>
        <w:tc>
          <w:tcPr>
            <w:tcW w:type="dxa" w:w="2466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广告点击次数和展示统计更新。</w:t>
            </w:r>
          </w:p>
        </w:tc>
        <w:tc>
          <w:tcPr>
            <w:tcW w:type="dxa" w:w="2551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广告统计接口返回 clicks、impressions 或 CTR 的变化。</w:t>
            </w:r>
          </w:p>
        </w:tc>
        <w:tc>
          <w:tcPr>
            <w:tcW w:type="dxa" w:w="652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9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T34</w:t>
            </w:r>
          </w:p>
        </w:tc>
        <w:tc>
          <w:tcPr>
            <w:tcW w:type="dxa" w:w="127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权限控制</w:t>
            </w:r>
          </w:p>
        </w:tc>
        <w:tc>
          <w:tcPr>
            <w:tcW w:type="dxa" w:w="116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角色权限</w:t>
            </w:r>
          </w:p>
        </w:tc>
        <w:tc>
          <w:tcPr>
            <w:tcW w:type="dxa" w:w="2353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普通用户已登录，后台接口或入口存在权限限制。</w:t>
            </w:r>
          </w:p>
        </w:tc>
        <w:tc>
          <w:tcPr>
            <w:tcW w:type="dxa" w:w="2835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普通用户尝试访问后台入口或后台接口。</w:t>
            </w:r>
          </w:p>
        </w:tc>
        <w:tc>
          <w:tcPr>
            <w:tcW w:type="dxa" w:w="2466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前端隐藏后台入口，或后端返回权限限制结果。</w:t>
            </w:r>
          </w:p>
        </w:tc>
        <w:tc>
          <w:tcPr>
            <w:tcW w:type="dxa" w:w="2551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普通用户不能进入管理页面，接口访问受到限制。</w:t>
            </w:r>
          </w:p>
        </w:tc>
        <w:tc>
          <w:tcPr>
            <w:tcW w:type="dxa" w:w="652"/>
            <w:vAlign w:val="center"/>
            <w:tcBorders>
              <w:top w:val="nil"/>
              <w:bottom w:val="single" w:sz="12" w:space="0" w:color="000000"/>
              <w:left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pPr>
        <w:spacing w:after="60"/>
      </w:pPr>
    </w:p>
    <w:sectPr w:rsidR="00FC693F" w:rsidRPr="0006063C" w:rsidSect="00034616">
      <w:pgSz w:w="16838" w:h="11906" w:orient="landscape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