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center"/>
      </w:pPr>
      <w:r>
        <w:rPr>
          <w:rFonts w:ascii="Times New Roman" w:hAnsi="Times New Roman" w:eastAsia="楷体"/>
          <w:b w:val="0"/>
          <w:sz w:val="21"/>
        </w:rPr>
        <w:t>表 3-13 术语与缩写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633"/>
      </w:tblGrid>
      <w:tr>
        <w:trPr>
          <w:tblHeader w:val="true"/>
        </w:trPr>
        <w:tc>
          <w:tcPr>
            <w:tcW w:type="dxa" w:w="2551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术语或符号</w:t>
            </w:r>
          </w:p>
        </w:tc>
        <w:tc>
          <w:tcPr>
            <w:tcW w:type="dxa" w:w="6633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含义说明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In-Network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网内候选，主体来自当前用户关注对象发布的内容。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Out-of-Network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网外候选，主体来自全站公开内容，用于兴趣探索。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TF-IDF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词频—逆文档频率，用于构建文本向量并与兴趣向量计算相似度。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点击率，click/impression，用于广告质量评估。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JWT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Web Token，一种紧凑的令牌格式，用于无状态会话。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表述性状态转移风格的 HTTP API 设计范式。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STOMP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面向消息的文本协议，常与 WebSocket 组合实现订阅推送。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DTO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数据传输对象，封装接口响应字段。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ScoreBreakdown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推荐得分拆分对象，记录各分项贡献。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DynamicWeights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动态权重集合，由画像阶段输出并作用于打分公式。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Ollama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本地大模型运行环境，本课题用于打标与 AI 推荐。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冷启动</w:t>
            </w:r>
          </w:p>
        </w:tc>
        <w:tc>
          <w:tcPr>
            <w:tcW w:type="dxa" w:w="66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新用户或新内容缺少行为历史时的推荐难题。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探索—利用</w:t>
            </w:r>
          </w:p>
        </w:tc>
        <w:tc>
          <w:tcPr>
            <w:tcW w:type="dxa" w:w="6633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Exploration-Exploitation，在尝试新内容与巩固已知兴趣之间权衡。</w:t>
            </w:r>
          </w:p>
        </w:tc>
      </w:tr>
    </w:tbl>
    <w:sectPr w:rsidR="00FC693F" w:rsidRPr="0006063C" w:rsidSect="00034616">
      <w:pgSz w:w="11906" w:h="16838"/>
      <w:pgMar w:top="1417" w:right="1361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