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120"/>
        <w:jc w:val="center"/>
      </w:pPr>
      <w:r>
        <w:rPr>
          <w:rFonts w:ascii="Times New Roman" w:hAnsi="Times New Roman" w:eastAsia="楷体"/>
          <w:b w:val="0"/>
          <w:sz w:val="21"/>
        </w:rPr>
        <w:t>表 5-7 系统运行环境配置</w:t>
      </w:r>
    </w:p>
    <w:tbl>
      <w:tblPr>
        <w:tblW w:type="dxa" w:w="9185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572"/>
        <w:gridCol w:w="3912"/>
      </w:tblGrid>
      <w:tr>
        <w:trPr>
          <w:tblHeader w:val="true"/>
        </w:trPr>
        <w:tc>
          <w:tcPr>
            <w:tcW w:type="dxa" w:w="1701"/>
            <w:tcBorders>
              <w:top w:val="single" w:sz="12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类别</w:t>
            </w:r>
          </w:p>
        </w:tc>
        <w:tc>
          <w:tcPr>
            <w:tcW w:type="dxa" w:w="3572"/>
            <w:tcBorders>
              <w:top w:val="single" w:sz="12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环境或工具</w:t>
            </w:r>
          </w:p>
        </w:tc>
        <w:tc>
          <w:tcPr>
            <w:tcW w:type="dxa" w:w="3912"/>
            <w:tcBorders>
              <w:top w:val="single" w:sz="12" w:space="0" w:color="000000"/>
              <w:left w:val="nil"/>
              <w:bottom w:val="single" w:sz="8" w:space="0" w:color="000000"/>
              <w:right w:val="nil"/>
              <w:insideH w:val="nil"/>
              <w:insideV w:val="nil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70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后端环境</w:t>
            </w:r>
          </w:p>
        </w:tc>
        <w:tc>
          <w:tcPr>
            <w:tcW w:type="dxa" w:w="35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JDK 17、Maven、Spring Boot 3.2.1</w:t>
            </w:r>
          </w:p>
        </w:tc>
        <w:tc>
          <w:tcPr>
            <w:tcW w:type="dxa" w:w="391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提供 RESTful API、WebSocket 服务与业务逻辑</w:t>
            </w:r>
          </w:p>
        </w:tc>
      </w:tr>
      <w:tr>
        <w:tc>
          <w:tcPr>
            <w:tcW w:type="dxa" w:w="170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前端环境</w:t>
            </w:r>
          </w:p>
        </w:tc>
        <w:tc>
          <w:tcPr>
            <w:tcW w:type="dxa" w:w="35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Node.js、Vue 3、Vite、Element Plus</w:t>
            </w:r>
          </w:p>
        </w:tc>
        <w:tc>
          <w:tcPr>
            <w:tcW w:type="dxa" w:w="391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提供单页应用、管理后台和图表展示</w:t>
            </w:r>
          </w:p>
        </w:tc>
      </w:tr>
      <w:tr>
        <w:tc>
          <w:tcPr>
            <w:tcW w:type="dxa" w:w="1701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数据库</w:t>
            </w:r>
          </w:p>
        </w:tc>
        <w:tc>
          <w:tcPr>
            <w:tcW w:type="dxa" w:w="35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MySQL</w:t>
            </w:r>
          </w:p>
        </w:tc>
        <w:tc>
          <w:tcPr>
            <w:tcW w:type="dxa" w:w="391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存储用户、内容、行为、画像、通知、私信和广告数据</w:t>
            </w:r>
          </w:p>
        </w:tc>
      </w:tr>
      <w:tr>
        <w:tc>
          <w:tcPr>
            <w:tcW w:type="dxa" w:w="1701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76" w:lineRule="auto" w:before="0" w:after="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AI 服务</w:t>
            </w:r>
          </w:p>
        </w:tc>
        <w:tc>
          <w:tcPr>
            <w:tcW w:type="dxa" w:w="3572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Ollama、DeepSeek API</w:t>
            </w:r>
          </w:p>
        </w:tc>
        <w:tc>
          <w:tcPr>
            <w:tcW w:type="dxa" w:w="3912"/>
            <w:tcBorders>
              <w:top w:val="nil"/>
              <w:left w:val="nil"/>
              <w:bottom w:val="single" w:sz="12" w:space="0" w:color="000000"/>
              <w:right w:val="nil"/>
              <w:insideH w:val="nil"/>
              <w:insideV w:val="nil"/>
            </w:tcBorders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line="276" w:lineRule="auto" w:before="0" w:after="0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用于内容打标、AI 推荐和智能问答</w:t>
            </w:r>
          </w:p>
        </w:tc>
      </w:tr>
    </w:tbl>
    <w:sectPr w:rsidR="00FC693F" w:rsidRPr="0006063C" w:rsidSect="00034616">
      <w:pgSz w:w="11906" w:h="16838"/>
      <w:pgMar w:top="1417" w:right="1361" w:bottom="141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