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1A237E"/>
          <w:sz w:val="32"/>
        </w:rPr>
        <w:t>太空杀 公测1.0 策略矩阵统计</w:t>
      </w:r>
    </w:p>
    <w:p>
      <w:pPr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三方策略池交叉对战：人类3种 × 异形4种 × 外星人2种 = **24组合 × 2000局**（种子 20260821）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1A237E"/>
          <w:sz w:val="26"/>
        </w:rPr>
        <w:t>一、策略池设计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阵营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风格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核心思路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标准广播（默认：神探条件跳身份）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激进跳身份（神探必跳、交叉验证更松）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信息沉淀（神探永不跳身份）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感染→击杀流（默认）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全员破坏流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伪装欺骗流（感染觉醒+假指控）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破坏混合流（1只破坏+2只感染击杀）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标准（默认）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猎手（更早建图+更早双刀）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1A237E"/>
          <w:sz w:val="26"/>
        </w:rPr>
        <w:t>二、完整交叉对战矩阵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人类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外星人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人类%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异形%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外星人%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36.9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22.7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35.4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45.1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45.7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41.0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10.9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48.0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35.2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22.2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42.6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34.6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22.7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39.1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40.3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23.8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44.4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35.5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45.6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18.9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41.8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15.7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42.5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38.8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16.7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44.5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43.0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15.0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44.9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15.1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38.8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45.2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37.4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46.5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35.3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47.1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17.6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31.9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51.5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54.4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13.7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31.9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49.4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16.8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33.9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34.0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49.0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33.7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49.5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31.3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51.5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30.6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51.1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18.4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1A237E"/>
          <w:sz w:val="26"/>
        </w:rPr>
        <w:t>三、三方风格稳健性（固定自己、对手全变）</w:t>
      </w:r>
    </w:p>
    <w:p>
      <w:pPr>
        <w:spacing w:before="80" w:after="60"/>
      </w:pPr>
      <w:r>
        <w:rPr>
          <w:rFonts w:ascii="Microsoft YaHei" w:hAnsi="Microsoft YaHei" w:eastAsia="Microsoft YaHei"/>
          <w:b/>
          <w:i w:val="0"/>
          <w:color w:val="37474F"/>
          <w:sz w:val="23"/>
        </w:rPr>
        <w:t>人类风格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风格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人类平均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异形平均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外星人平均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h_std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41.5%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29.3%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29.2%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h_aggro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39.1%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37.8%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23.2%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h_passive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37.5%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41.3%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21.2%</w:t>
            </w:r>
          </w:p>
        </w:tc>
      </w:tr>
    </w:tbl>
    <w:p/>
    <w:p>
      <w:pPr>
        <w:spacing w:before="80" w:after="60"/>
      </w:pPr>
      <w:r>
        <w:rPr>
          <w:rFonts w:ascii="Microsoft YaHei" w:hAnsi="Microsoft YaHei" w:eastAsia="Microsoft YaHei"/>
          <w:b/>
          <w:i w:val="0"/>
          <w:color w:val="37474F"/>
          <w:sz w:val="23"/>
        </w:rPr>
        <w:t>异形风格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风格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人类平均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异形平均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外星人平均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a_std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37.0%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43.5%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19.5%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a_sabotage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45.1%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13.8%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41.1%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a_stealth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39.1%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42.7%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18.1%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a_mix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36.2%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44.4%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19.3%</w:t>
            </w:r>
          </w:p>
        </w:tc>
      </w:tr>
    </w:tbl>
    <w:p/>
    <w:p>
      <w:pPr>
        <w:spacing w:before="80" w:after="60"/>
      </w:pPr>
      <w:r>
        <w:rPr>
          <w:rFonts w:ascii="Microsoft YaHei" w:hAnsi="Microsoft YaHei" w:eastAsia="Microsoft YaHei"/>
          <w:b/>
          <w:i w:val="0"/>
          <w:color w:val="37474F"/>
          <w:sz w:val="23"/>
        </w:rPr>
        <w:t>外星人风格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风格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人类平均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异形平均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外星人平均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f_std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40.2%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35.6%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24.1%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f_hunter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38.5%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36.6%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24.9%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1A237E"/>
          <w:sz w:val="26"/>
        </w:rPr>
        <w:t>四、核心发现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1. **人类主动广播仍是铁律**：h_passive（神探隐藏）让人类跌到31-35%，异形暴涨至47-51%——信息沉淀是最大失败模式。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2. **激进跳身份是双刃剑**：h_aggro 让神探必跳、过早暴露，异形可精准斩首神探，异形胜率升到43-46%，人类反而受损。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3. **全员破坏流仍是最弱异形策略**：a_sabotage 异形仅9-16%，外星人渔翁得利涨到42-48%——破坏被规模化后信息不对称优势稀释（符合此前"少数派战术"规律）。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4. **异形最优仍是感染→击杀**：a_std/a_stealth 在合理人类风格下保持35-37%异形胜率；a_mix（破坏混合）≈ a_std，破坏当少数派也难增益。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5. **f_hunter 猎手差异微小**：外星人风格影响有限（±1-2pp），仍是"被动渔翁"生态位。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1A237E"/>
          <w:sz w:val="26"/>
        </w:rPr>
        <w:t>五、最均衡组合与结论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**最均衡组合：h_std × a_std × f_std = 人类40.4% / 异形36.9% / 外星人22.7%**（极差17.7pp）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- 与公测1.0默认配置（人类38.9/异形36.9/外星人24.2）趋势一致；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- 外星人(22-24%)仍是相对短板，需单独规则加强；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- 建议人类 AI 维持"条件跳身份"（h_std），避免激进暴露与过度隐藏两个极端。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