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rPr>
          <w:rFonts w:ascii="Arial" w:hAnsi="Arial" w:eastAsia="Noto Sans CJK SC"/>
          <w:b/>
          <w:sz w:val="38"/>
        </w:rPr>
        <w:t>项目建议书</w:t>
      </w:r>
    </w:p>
    <w:p>
      <w:pPr>
        <w:keepLines w:val="0"/>
        <w:widowControl/>
      </w:pPr>
      <w:r>
        <w:rPr>
          <w:rFonts w:eastAsia="Noto Sans CJK SC"/>
          <w:b/>
          <w:i w:val="0"/>
        </w:rPr>
        <w:t xml:space="preserve">1. 项目名称：SpecTrace-CN——面向食品追溯与合规的云原生微服务平台</w:t>
      </w:r>
    </w:p>
    <w:p>
      <w:pPr>
        <w:keepLines w:val="0"/>
        <w:widowControl/>
      </w:pPr>
      <w:r>
        <w:rPr>
          <w:rFonts w:eastAsia="Noto Sans CJK SC"/>
          <w:b/>
          <w:i w:val="0"/>
        </w:rPr>
        <w:t xml:space="preserve">2. 项目 Sponsor：N/A</w:t>
      </w:r>
    </w:p>
    <w:p>
      <w:pPr>
        <w:keepLines w:val="0"/>
        <w:widowControl/>
      </w:pPr>
      <w:r>
        <w:rPr>
          <w:rFonts w:eastAsia="Noto Sans CJK SC"/>
          <w:b/>
          <w:i w:val="0"/>
        </w:rPr>
        <w:t xml:space="preserve">3. 项目成员</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0"/>
        <w:gridCol w:w="6700"/>
      </w:tblGrid>
      <w:tr>
        <w:trPr>
          <w:cantSplit/>
          <w:tblHeader/>
        </w:trPr>
        <w:tc>
          <w:tcPr>
            <w:tcW w:type="dxa" w:w="3400"/>
            <w:shd w:val="clear" w:color="auto" w:fill="EEEEEE"/>
            <w:tcMar>
              <w:top w:w="30" w:type="dxa"/>
              <w:start w:w="60" w:type="dxa"/>
              <w:bottom w:w="30" w:type="dxa"/>
              <w:end w:w="60" w:type="dxa"/>
            </w:tcMar>
            <w:vAlign w:val="center"/>
          </w:tcPr>
          <w:p>
            <w:pPr>
              <w:spacing w:before="0" w:after="0"/>
            </w:pPr>
            <w:r>
              <w:rPr>
                <w:rFonts w:ascii="Arial" w:hAnsi="Arial" w:eastAsia="Noto Sans CJK SC"/>
                <w:b/>
                <w:sz w:val="17"/>
              </w:rPr>
              <w:t xml:space="preserve">姓名</w:t>
            </w:r>
          </w:p>
        </w:tc>
        <w:tc>
          <w:tcPr>
            <w:tcW w:type="dxa" w:w="6700"/>
            <w:shd w:val="clear" w:color="auto" w:fill="EEEEEE"/>
            <w:tcMar>
              <w:top w:w="30" w:type="dxa"/>
              <w:start w:w="60" w:type="dxa"/>
              <w:bottom w:w="30" w:type="dxa"/>
              <w:end w:w="60" w:type="dxa"/>
            </w:tcMar>
            <w:vAlign w:val="center"/>
          </w:tcPr>
          <w:p>
            <w:pPr>
              <w:spacing w:before="0" w:after="0"/>
            </w:pPr>
            <w:r>
              <w:rPr>
                <w:rFonts w:ascii="Arial" w:hAnsi="Arial" w:eastAsia="Noto Sans CJK SC"/>
                <w:b/>
                <w:sz w:val="17"/>
              </w:rPr>
              <w:t xml:space="preserve">Email</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Huang Xiangjia</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xiangjia.huang@u.nus.edu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Cai Runchen</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runchencai@u.nus.edu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Xu Feiyang</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feiyangxu@u.nus.edu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Zhu Wenyu</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wenyu.zhu@u.nus.edu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Sun Huajian</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shjshjshj@u.nus.edu</w:t>
            </w:r>
          </w:p>
        </w:tc>
      </w:tr>
    </w:tbl>
    <w:p>
      <w:pPr>
        <w:spacing w:before="0" w:after="0" w:line="120" w:lineRule="exact"/>
      </w:pPr>
    </w:p>
    <w:p>
      <w:pPr>
        <w:pStyle w:val="Heading1"/>
      </w:pPr>
      <w:r>
        <w:rPr>
          <w:rFonts w:eastAsia="Noto Sans CJK SC"/>
        </w:rPr>
        <w:t>4. 项目概述</w:t>
      </w:r>
    </w:p>
    <w:p>
      <w:pPr>
        <w:keepLines w:val="0"/>
        <w:widowControl/>
        <w:spacing w:after="40"/>
      </w:pPr>
      <w:r>
        <w:rPr>
          <w:rFonts w:eastAsia="Noto Sans CJK SC"/>
          <w:b w:val="0"/>
          <w:i w:val="0"/>
        </w:rPr>
        <w:t xml:space="preserve">食品制造商依赖许多配料供应商提供的物料规格。供应商一旦变更物料（例如发布一份成分有变化的大豆卵磷脂新规格），每个使用该物料的制造商都要自己排查哪些配方和已发布标签受影响、重新核对过敏原、重新审批标签。目前这种信息交换靠邮件和表格完成，每家制造商还要各自重建一套过敏原、追溯和标签审批逻辑，以及配套的安全和审计能力。生态越大，重复成本越高，管控也越不一致。</w:t>
      </w:r>
    </w:p>
    <w:p>
      <w:pPr>
        <w:keepLines w:val="0"/>
        <w:widowControl/>
        <w:spacing w:after="40"/>
      </w:pPr>
      <w:r>
        <w:rPr>
          <w:rFonts w:eastAsia="Noto Sans CJK SC"/>
          <w:b w:val="0"/>
          <w:i w:val="0"/>
        </w:rPr>
        <w:t xml:space="preserve">SpecTrace-CN 把这件事做成一个部署在 DigitalOcean 上的双边平台。供应商只需发布一次版本化规格，平台就会把它匹配到受影响的制造商配方，告诉每家制造商过敏原结论是否改变（NO_ACTION 或 REVIEW_REQUIRED，并附版本证据），再把需要处理的标签工作送入验证、maker-checker 审批和发布流程。这些能力以可独立部署的微服务形式提供，对外暴露稳定的 API 和事件，新的消费方应用和新服务可以直接复用，不必重新建设。</w:t>
      </w:r>
    </w:p>
    <w:p>
      <w:pPr>
        <w:keepLines w:val="0"/>
        <w:widowControl/>
        <w:spacing w:after="40"/>
      </w:pPr>
      <w:r>
        <w:rPr>
          <w:rFonts w:eastAsia="Noto Sans CJK SC"/>
          <w:b w:val="0"/>
          <w:i w:val="0"/>
        </w:rPr>
        <w:t xml:space="preserve">项目有四个目标：（1）围绕一个业务 Seed 跑通 Producer–Consumer 交互；（2）沉淀可复用的领域服务和工程资产，而不是某个应用专用的代码；（3）让计算密集的 Compliance 能力独立扩展，并用实测数据证明；（4）提供一条安全的 Golden Path，可量化地降低新增服务或接入新消费方的成本。</w:t>
      </w:r>
    </w:p>
    <w:p>
      <w:pPr>
        <w:keepLines w:val="0"/>
        <w:widowControl/>
        <w:spacing w:after="40"/>
      </w:pPr>
      <w:r>
        <w:rPr>
          <w:rFonts w:eastAsia="Noto Sans CJK SC"/>
          <w:b/>
          <w:i w:val="0"/>
        </w:rPr>
        <w:t>起点。团队以 SWE5006 项目 SpecTrace 为基线进行重构，基线冻结在 main 分支 commit a3520e1（2026 年 9 月 25 日；2026 年 9 月 26 日复核时仍为 main HEAD）：Java 21 Spring Boot 模块化单体，前端 React/TypeScript，持久化使用 Spring JDBC + Flyway + MySQL，本地用 Docker Compose 运行，GitHub Actions 流水线已包含 Testcontainers、Playwright、JaCoCo/Sonar、Trivy 和 OWASP Dependency-Check。已实现并有测试覆盖的：供应商、物料、规格、产品和配方的版本化数据及发布；基于请求头的开发期身份识别和数据库 RBAC；带结构化声明的标签草稿；与版本绑定的推导过敏原；通过 REST 执行的验证。尚不具备、因此纳入本项目范围的：（a）标签审核、批准和发布只以 MySQL 存储过程的形式存在（内嵌 RBAC 和审计写入），没有 API，也没有界面；（b）变更影响分析只有表结构，没有逻辑；（c）没有组织模型，无法区分和隔离供应商与制造商；（d）大量外键和两个存储过程跨越了未来的服务边界；（e）没有云环境。</w:t>
      </w:r>
      <w:r>
        <w:rPr>
          <w:rFonts w:eastAsia="Noto Sans CJK SC"/>
          <w:b w:val="0"/>
          <w:i w:val="0"/>
        </w:rPr>
      </w:r>
    </w:p>
    <w:p>
      <w:pPr>
        <w:pStyle w:val="Heading1"/>
      </w:pPr>
      <w:r>
        <w:rPr>
          <w:rFonts w:eastAsia="Noto Sans CJK SC"/>
        </w:rPr>
        <w:t>5. 总体架构</w:t>
      </w:r>
    </w:p>
    <w:p>
      <w:pPr>
        <w:keepLines w:val="0"/>
        <w:widowControl/>
        <w:spacing w:after="40"/>
      </w:pPr>
      <w:r>
        <w:rPr>
          <w:rFonts w:eastAsia="Noto Sans CJK SC"/>
          <w:b w:val="0"/>
          <w:i w:val="0"/>
        </w:rPr>
        <w:t>SpecTrace-CN 采用部署在 DigitalOcean Kubernetes（DOKS）上的云原生微服务架构。先用 DDD 战略设计确定服务边界，再在边界之上叠加集成方式、部署、平台工程和质量属性策略。运行环境在能够减少运维负担的地方采用 DigitalOcean 托管基础设施，在需要保持可移植性的地方采用标准开源组件。应用与开源平台组件均提供本地 Docker Compose 对应实现；DigitalOcean 的托管入口、数据库和镜像仓库仅作为 staging 部署配置。</w:t>
      </w:r>
    </w:p>
    <w:p>
      <w:pPr>
        <w:pStyle w:val="Heading2"/>
      </w:pPr>
      <w:r>
        <w:rPr>
          <w:rFonts w:eastAsia="Noto Sans CJK SC"/>
        </w:rPr>
        <w:t>5.1 限界上下文与数据归属</w:t>
      </w:r>
    </w:p>
    <w:p>
      <w:pPr>
        <w:keepLines w:val="0"/>
        <w:widowControl/>
        <w:spacing w:after="40"/>
      </w:pPr>
      <w:r>
        <w:rPr>
          <w:rFonts w:eastAsia="Noto Sans CJK SC"/>
          <w:b w:val="0"/>
          <w:i w:val="0"/>
        </w:rPr>
        <w:t xml:space="preserve">核心域是 Compliance Intelligence（合规智能）：把供应商和配方的变更转化为可审计的过敏原结论和标签处置决策。Specification、Formulation 和 Label Workflow 是支撑上下文。身份（Keycloak）、通知和审计使用通用平台能力。</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0"/>
        <w:gridCol w:w="1850"/>
        <w:gridCol w:w="3600"/>
        <w:gridCol w:w="3000"/>
      </w:tblGrid>
      <w:tr>
        <w:trPr>
          <w:cantSplit/>
          <w:tblHeader/>
        </w:trPr>
        <w:tc>
          <w:tcPr>
            <w:tcW w:type="dxa" w:w="165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服务</w:t>
            </w:r>
          </w:p>
        </w:tc>
        <w:tc>
          <w:tcPr>
            <w:tcW w:type="dxa" w:w="185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角色</w:t>
            </w:r>
          </w:p>
        </w:tc>
        <w:tc>
          <w:tcPr>
            <w:tcW w:type="dxa" w:w="360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拥有的数据</w:t>
            </w:r>
          </w:p>
        </w:tc>
        <w:tc>
          <w:tcPr>
            <w:tcW w:type="dxa" w:w="300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发布 / 消费</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Specification</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支撑域；上游，Producer 侧</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supplier、supplier_material、配料词表、规格版本及成分</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Producer API；发布 SpecificationPublished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Formulation</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支撑域；制造商私有</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product、配方版本及条目；已发布规格投影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Formula API；消费 SpecificationPublished；发布 FormulaPublished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Compliance</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核心域；横向扩展对象</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过敏原字典、配料→过敏原映射、规则集、验证记录与结果、影响结论；已发布规格、配方和标签的只读投影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验证、影响预览、影响收件箱 API；发布 ImpactFinding</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Label Workflow</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标签版本、声明、验证记录、审核任务、批准、发布记录、当前标签标记；已发布配方投影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Workflow API；消费 FormulaPublished 和 ImpactFinding；发布 LabelPublished</w:t>
            </w:r>
          </w:p>
        </w:tc>
      </w:tr>
    </w:tbl>
    <w:p>
      <w:pPr>
        <w:spacing w:before="0" w:after="0" w:line="120" w:lineRule="exact"/>
      </w:pPr>
    </w:p>
    <w:p>
      <w:pPr>
        <w:keepNext/>
        <w:spacing w:before="60" w:after="0"/>
        <w:jc w:val="center"/>
      </w:pPr>
      <w:r>
        <w:drawing>
          <wp:inline xmlns:a="http://schemas.openxmlformats.org/drawingml/2006/main" xmlns:pic="http://schemas.openxmlformats.org/drawingml/2006/picture">
            <wp:extent cx="6400800" cy="1168146"/>
            <wp:docPr id="1" name="Fig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1168146"/>
                    </a:xfrm>
                    <a:prstGeom prst="rect">
                      <a:avLst/>
                    </a:prstGeom>
                  </pic:spPr>
                </pic:pic>
              </a:graphicData>
            </a:graphic>
          </wp:inline>
        </w:drawing>
      </w:r>
    </w:p>
    <w:p>
      <w:pPr>
        <w:spacing w:after="60"/>
        <w:jc w:val="center"/>
      </w:pPr>
      <w:r>
        <w:rPr>
          <w:rFonts w:eastAsia="Noto Sans CJK SC"/>
          <w:i/>
          <w:sz w:val="16"/>
        </w:rPr>
        <w:t xml:space="preserve">图 1. 上下文映射与两阶段交互；(n) 对应 §6.7 的演示步骤。实线为同步 HTTP，虚线为经 transactional outbox 和 RabbitMQ 传递的事件。</w:t>
      </w:r>
    </w:p>
    <w:p>
      <w:pPr>
        <w:pStyle w:val="Heading2"/>
      </w:pPr>
      <w:r>
        <w:rPr>
          <w:rFonts w:eastAsia="Noto Sans CJK SC"/>
        </w:rPr>
        <w:t>5.2 关键架构决策</w:t>
      </w:r>
    </w:p>
    <w:p>
      <w:pPr>
        <w:pStyle w:val="ListBullet"/>
        <w:spacing w:after="22"/>
        <w:ind w:left="255" w:hanging="102"/>
      </w:pPr>
      <w:r>
        <w:rPr>
          <w:rFonts w:eastAsia="Noto Sans CJK SC"/>
          <w:b/>
          <w:i w:val="0"/>
        </w:rPr>
        <w:t xml:space="preserve">把基线中的 catalog 拆成 Specification 和 Formulation。</w:t>
      </w:r>
      <w:r>
        <w:rPr>
          <w:rFonts w:eastAsia="Noto Sans CJK SC"/>
          <w:b w:val="0"/>
          <w:i w:val="0"/>
        </w:rPr>
        <w:t xml:space="preserve">供应商发布的规格是网络中共享的价值；配方是制造商私有的采用决策，归属、生命周期和可见范围都不同。</w:t>
      </w:r>
    </w:p>
    <w:p>
      <w:pPr>
        <w:pStyle w:val="ListBullet"/>
        <w:spacing w:after="22"/>
        <w:ind w:left="255" w:hanging="102"/>
      </w:pPr>
      <w:r>
        <w:rPr>
          <w:rFonts w:eastAsia="Noto Sans CJK SC"/>
          <w:b/>
          <w:i w:val="0"/>
        </w:rPr>
        <w:t>配料词表归 Specification，关于配料的过敏原知识归 Compliance。这样所有依赖都从 Specification 单向流向下游。Compliance 尚未建立映射的配料会被标记为 UNRESOLVED 并得出 REVIEW_REQUIRED，绝不会被静默判为通过（BR-03 的目标架构适配）。</w:t>
      </w:r>
      <w:r>
        <w:rPr>
          <w:rFonts w:eastAsia="Noto Sans CJK SC"/>
          <w:b w:val="0"/>
          <w:i w:val="0"/>
        </w:rPr>
      </w:r>
    </w:p>
    <w:p>
      <w:pPr>
        <w:pStyle w:val="ListBullet"/>
        <w:spacing w:after="22"/>
        <w:ind w:left="255" w:hanging="102"/>
      </w:pPr>
      <w:r>
        <w:rPr>
          <w:rFonts w:eastAsia="Noto Sans CJK SC"/>
          <w:b/>
          <w:i w:val="0"/>
        </w:rPr>
        <w:t xml:space="preserve">标签的草稿、审核、批准和发布放在同一个服务里。</w:t>
      </w:r>
      <w:r>
        <w:rPr>
          <w:rFonts w:eastAsia="Noto Sans CJK SC"/>
          <w:b w:val="0"/>
          <w:i w:val="0"/>
        </w:rPr>
        <w:t xml:space="preserve">maker-checker 和替换当前已发布标签都要求即时一致。去掉基线中的 product.current_published_label_version_id 指针、改用 Label Workflow 自己的当前标签标记后，发布只需一个本地事务，不必引入 Saga。</w:t>
      </w:r>
    </w:p>
    <w:p>
      <w:pPr>
        <w:pStyle w:val="ListBullet"/>
        <w:spacing w:after="22"/>
        <w:ind w:left="255" w:hanging="102"/>
      </w:pPr>
      <w:r>
        <w:rPr>
          <w:rFonts w:eastAsia="Noto Sans CJK SC"/>
          <w:b/>
          <w:i w:val="0"/>
        </w:rPr>
        <w:t>过敏原推导、规则评估和影响分析合并在 Compliance 中：它们共用一套统一语言和决策模型。已发布版本不可变（BR-01），因此副本可以保留既有版本的内存缓存；新发布版本通过事件追加，不修改旧版本条目。因此 Compliance 在请求之间无状态、以计算为主，适合横向扩展。</w:t>
      </w:r>
      <w:r>
        <w:rPr>
          <w:rFonts w:eastAsia="Noto Sans CJK SC"/>
          <w:b w:val="0"/>
          <w:i w:val="0"/>
        </w:rPr>
      </w:r>
    </w:p>
    <w:p>
      <w:pPr>
        <w:pStyle w:val="ListBullet"/>
        <w:spacing w:after="22"/>
        <w:ind w:left="255" w:hanging="102"/>
      </w:pPr>
      <w:r>
        <w:rPr>
          <w:rFonts w:eastAsia="Noto Sans CJK SC"/>
          <w:b/>
          <w:i w:val="0"/>
        </w:rPr>
        <w:t xml:space="preserve">所有跨上下文外键都改为 ID 引用，并用事件驱动的投影做校验。</w:t>
      </w:r>
      <w:r>
        <w:rPr>
          <w:rFonts w:eastAsia="Noto Sans CJK SC"/>
          <w:b w:val="0"/>
          <w:i w:val="0"/>
        </w:rPr>
        <w:t xml:space="preserve">user_account 改为 OIDC subject 加组织 claim，data_provenance 改为各服务本地保存，产品、配方和规则集引用改为普通 ID。任何服务都不读取其他服务的 schema。</w:t>
      </w:r>
    </w:p>
    <w:p>
      <w:pPr>
        <w:pStyle w:val="ListBullet"/>
        <w:spacing w:after="22"/>
        <w:ind w:left="255" w:hanging="102"/>
      </w:pPr>
      <w:r>
        <w:rPr>
          <w:rFonts w:eastAsia="Noto Sans CJK SC"/>
          <w:b/>
          <w:i w:val="0"/>
        </w:rPr>
        <w:t xml:space="preserve">标签相关存储过程（提交审核、审核决定、发布）在 Label Workflow 中重写为服务内本地事务。</w:t>
      </w:r>
      <w:r>
        <w:rPr>
          <w:rFonts w:eastAsia="Noto Sans CJK SC"/>
          <w:b w:val="0"/>
          <w:i w:val="0"/>
        </w:rPr>
        <w:t xml:space="preserve">过程里内嵌的 RBAC 关联查询改为基于令牌的检查；BR-05（提交审核前必须有同一版本的 PASSED 验证）改为读取 Label Workflow 自己的验证记录，而不是 validation_run。单体现有的集成测试作为等价性判定基准。</w:t>
      </w:r>
    </w:p>
    <w:p>
      <w:pPr>
        <w:pStyle w:val="Heading2"/>
      </w:pPr>
      <w:r>
        <w:rPr>
          <w:rFonts w:eastAsia="Noto Sans CJK SC"/>
        </w:rPr>
        <w:t>5.3 集成、运行环境与平台工程</w:t>
      </w:r>
    </w:p>
    <w:p>
      <w:pPr>
        <w:pStyle w:val="ListBullet"/>
        <w:spacing w:after="22"/>
        <w:ind w:left="255" w:hanging="102"/>
      </w:pPr>
      <w:r>
        <w:rPr>
          <w:rFonts w:eastAsia="Noto Sans CJK SC"/>
          <w:b/>
          <w:i w:val="0"/>
        </w:rPr>
        <w:t xml:space="preserve">事件。</w:t>
      </w:r>
      <w:r>
        <w:rPr>
          <w:rFonts w:eastAsia="Noto Sans CJK SC"/>
          <w:b w:val="0"/>
          <w:i w:val="0"/>
        </w:rPr>
        <w:t xml:space="preserve">SpecificationPublished、FormulaPublished、ImpactFinding 和 LabelPublished 以版本化 JSON Schema 作为 Published Language。每个服务把业务状态、本地审计和 outbox 记录写在同一事务中，由转发器以 publisher confirm 方式发布到 RabbitMQ topic exchange，每个消费方各有一个带投递次数上限和死信队列的持久化 quorum 队列（至少一次投递）。消费方按事件 ID 去重，并丢弃过期的聚合版本。每个事件都携带组织 ID 和关联 ID。</w:t>
      </w:r>
    </w:p>
    <w:p>
      <w:pPr>
        <w:pStyle w:val="ListBullet"/>
        <w:spacing w:after="22"/>
        <w:ind w:left="255" w:hanging="102"/>
      </w:pPr>
      <w:r>
        <w:rPr>
          <w:rFonts w:eastAsia="Noto Sans CJK SC"/>
          <w:b/>
          <w:i w:val="0"/>
        </w:rPr>
        <w:t xml:space="preserve">唯一的同步业务调用：Label Workflow → Compliance 验证。</w:t>
      </w:r>
      <w:r>
        <w:rPr>
          <w:rFonts w:eastAsia="Noto Sans CJK SC"/>
          <w:b w:val="0"/>
          <w:i w:val="0"/>
        </w:rPr>
        <w:t xml:space="preserve">请求自带草稿快照（标签版本、声明、配方版本、法域、规则集版本），因此 Compliance 从不回调上游。幂等键保证一次有限重试是安全的；2 秒超时加熔断器保证调用失败时一律按未通过处理（fail closed）。Label Workflow 把返回的验证记录 ID 和结果与草稿一起保存，之后的 BR-05 检查在本地完成。</w:t>
      </w:r>
    </w:p>
    <w:p>
      <w:pPr>
        <w:pStyle w:val="ListBullet"/>
        <w:spacing w:after="22"/>
        <w:ind w:left="255" w:hanging="102"/>
      </w:pPr>
      <w:r>
        <w:rPr>
          <w:rFonts w:eastAsia="Noto Sans CJK SC"/>
          <w:b/>
          <w:i w:val="0"/>
        </w:rPr>
        <w:t>入口与身份。DigitalOcean Load Balancer 负责 TLS 终止（Let's Encrypt 证书），其后的 Spring Cloud Gateway 是唯一的南北向入口，负责 Keycloak JWT 校验、路由、保护性请求速率与请求体大小限制，以及关联 ID。各服务只暴露集群内地址（ClusterIP），并受默认拒绝的 NetworkPolicy 保护。React 应用通过 Keycloak 登录（授权码 + PKCE）。每个服务都会再次校验令牌，并检查角色和组织归属；验证调用会转发用户令牌，使真实操作者得到授权和审计。东西向流量使用 Kubernetes 服务 DNS。</w:t>
      </w:r>
      <w:r>
        <w:rPr>
          <w:rFonts w:eastAsia="Noto Sans CJK SC"/>
          <w:b w:val="0"/>
          <w:i w:val="0"/>
        </w:rPr>
      </w:r>
    </w:p>
    <w:p>
      <w:pPr>
        <w:pStyle w:val="ListBullet"/>
        <w:spacing w:after="22"/>
        <w:ind w:left="255" w:hanging="102"/>
      </w:pPr>
      <w:r>
        <w:rPr>
          <w:rFonts w:eastAsia="Noto Sans CJK SC"/>
          <w:b/>
          <w:i w:val="0"/>
        </w:rPr>
        <w:t xml:space="preserve">Golden Path。</w:t>
      </w:r>
      <w:r>
        <w:rPr>
          <w:rFonts w:eastAsia="Noto Sans CJK SC"/>
          <w:b w:val="0"/>
          <w:i w:val="0"/>
        </w:rPr>
        <w:t xml:space="preserve">包括一个轻量级 Spring Boot Starter（令牌与组织上下文、关联 ID、统一错误格式、outbox 与幂等消费支持、健康/就绪检查、结构化日志、指标）、一个可复用的 GitHub Actions 工作流和一个 Helm Chart 模板，其中不包含任何领域实体、DTO 或业务规则。</w:t>
      </w:r>
    </w:p>
    <w:p>
      <w:pPr>
        <w:pStyle w:val="Heading1"/>
      </w:pPr>
      <w:r>
        <w:rPr>
          <w:rFonts w:eastAsia="Noto Sans CJK SC"/>
        </w:rPr>
        <w:t>6. 工作范围</w:t>
      </w:r>
    </w:p>
    <w:p>
      <w:pPr>
        <w:pStyle w:val="Heading2"/>
      </w:pPr>
      <w:r>
        <w:rPr>
          <w:rFonts w:eastAsia="Noto Sans CJK SC"/>
        </w:rPr>
        <w:t>6.1 平台业务模型</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平台要素</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SpecTrace-CN MVP</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Seed</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版本化的供应商物料规格：由供应商创建、由制造商使用。代码库、规则引擎和云运行环境都不是 Seed。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Producers</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发布规格版本的配料供应商（供应商组织）。</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Consumers</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制造商的配方、合规和标签团队（制造商组织）。</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核心交互</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 V2 → 平台匹配仍在使用旧版本的配方并预判过敏原影响 → 制造商在新配方中采用 V2 → 确认影响结论 → 标签审核、批准和发布。</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Magnet</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一次即可，不必逐个客户回复邮件；制造商无需询问就能收到影响证据。跨边网络效应：供应商越多，平台对制造商越有用；制造商越多，供应商越有动力发布。制造商将来发布半成品物料时，也会成为 Producer。</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Toolbox</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 API 与客户端；影响预览、影响收件箱和验证 API；事件订阅；React 参考消费方；OpenAPI 文档和事件 Schema。</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Matchmaker</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Compliance 先按物料使用关系识别相关配方，再区分真实的过敏原/标签影响：只有缺少必需过敏原声明或存在 UNRESOLVED 时才标记 REVIEW_REQUIRED，否则记录 NO_ACTION，并附版本与溯源证据。</w:t>
            </w:r>
          </w:p>
        </w:tc>
      </w:tr>
    </w:tbl>
    <w:p>
      <w:pPr>
        <w:spacing w:before="0" w:after="0" w:line="120" w:lineRule="exact"/>
      </w:pPr>
    </w:p>
    <w:p>
      <w:pPr>
        <w:keepLines w:val="0"/>
        <w:widowControl/>
        <w:spacing w:after="40"/>
      </w:pPr>
      <w:r>
        <w:rPr>
          <w:rFonts w:eastAsia="Noto Sans CJK SC"/>
          <w:b w:val="0"/>
          <w:i w:val="0"/>
        </w:rPr>
        <w:t xml:space="preserve">MVP 有意只从一个 Seed 开始；法规规则包和其他合规属性可能成为未来的 Seed，不在本次范围内。</w:t>
      </w:r>
    </w:p>
    <w:p>
      <w:pPr>
        <w:pStyle w:val="Heading2"/>
      </w:pPr>
      <w:r>
        <w:rPr>
          <w:rFonts w:eastAsia="Noto Sans CJK SC"/>
        </w:rPr>
        <w:t>6.2 两阶段变更影响流程（核心域）</w:t>
      </w:r>
    </w:p>
    <w:p>
      <w:pPr>
        <w:pStyle w:val="ListBullet"/>
        <w:spacing w:after="22"/>
        <w:ind w:left="255" w:hanging="102"/>
      </w:pPr>
      <w:r>
        <w:rPr>
          <w:rFonts w:eastAsia="Noto Sans CJK SC"/>
          <w:b/>
          <w:i w:val="0"/>
        </w:rPr>
        <w:t xml:space="preserve">阶段一：匹配。</w:t>
      </w:r>
      <w:r>
        <w:rPr>
          <w:rFonts w:eastAsia="Noto Sans CJK SC"/>
          <w:b w:val="0"/>
          <w:i w:val="0"/>
        </w:rPr>
        <w:t xml:space="preserve">收到 SpecificationPublished 后，Compliance 找出引用该物料旧版本的已发布配方，推导每个配方换用新版本后的过敏原集合，与当前已发布标签比对，并在制造商的影响收件箱中记录一条 POTENTIAL 结论（NO_ACTION 或 REVIEW_REQUIRED）。供应商发布绝不会改变任何配方（BR-02）。</w:t>
      </w:r>
    </w:p>
    <w:p>
      <w:pPr>
        <w:pStyle w:val="ListBullet"/>
        <w:spacing w:after="22"/>
        <w:ind w:left="255" w:hanging="102"/>
      </w:pPr>
      <w:r>
        <w:rPr>
          <w:rFonts w:eastAsia="Noto Sans CJK SC"/>
          <w:b/>
          <w:i w:val="0"/>
        </w:rPr>
        <w:t xml:space="preserve">阶段二：确认。</w:t>
      </w:r>
      <w:r>
        <w:rPr>
          <w:rFonts w:eastAsia="Noto Sans CJK SC"/>
          <w:b w:val="0"/>
          <w:i w:val="0"/>
        </w:rPr>
        <w:t xml:space="preserve">制造商发布采用 V2 的配方（FormulaPublished）后，Compliance 将其与当前已发布标签比对，发出 CONFIRMED 的 ImpactFinding；若结论为 REVIEW_REQUIRED，Label Workflow 创建审核任务。</w:t>
      </w:r>
    </w:p>
    <w:p>
      <w:pPr>
        <w:pStyle w:val="ListBullet"/>
        <w:spacing w:after="22"/>
        <w:ind w:left="255" w:hanging="102"/>
      </w:pPr>
      <w:r>
        <w:rPr>
          <w:rFonts w:eastAsia="Noto Sans CJK SC"/>
          <w:b/>
          <w:i w:val="0"/>
        </w:rPr>
        <w:t xml:space="preserve">为什么 Compliance 需要独立扩展。</w:t>
      </w:r>
      <w:r>
        <w:rPr>
          <w:rFonts w:eastAsia="Noto Sans CJK SC"/>
          <w:b w:val="0"/>
          <w:i w:val="0"/>
        </w:rPr>
        <w:t xml:space="preserve">一次规格变更会扇出到所有使用该物料的制造商的所有配方，之后还有影响预览和验证请求。Compliance 的负载随“制造商数 × 配方数”增长，而规格和标签流量只随人工编辑增长。</w:t>
      </w:r>
    </w:p>
    <w:p>
      <w:pPr>
        <w:pStyle w:val="Heading2"/>
      </w:pPr>
      <w:r>
        <w:rPr>
          <w:rFonts w:eastAsia="Noto Sans CJK SC"/>
        </w:rPr>
        <w:t>6.3 微服务、数据与团队分工</w:t>
      </w:r>
    </w:p>
    <w:p>
      <w:pPr>
        <w:keepLines w:val="0"/>
        <w:widowControl/>
        <w:spacing w:after="40"/>
      </w:pPr>
      <w:r>
        <w:rPr>
          <w:rFonts w:eastAsia="Noto Sans CJK SC"/>
          <w:b w:val="0"/>
          <w:i w:val="0"/>
        </w:rPr>
        <w:t xml:space="preserve">基线中已有可用逻辑的部分直接抽取：catalog → Specification + Formulation；allergen + validation → Compliance（验证模块已经通过 LabelSnapshotPort 和 FormulaCompositionPort 获取标签和配方数据，这两个端口将分别变成验证请求的载荷和配方投影）；label + workflow → Label Workflow。需要新开发的包括：审核/批准/发布的 API 和界面、两阶段影响分析、组织模型、outbox 与事件，以及存储过程重写。各服务继续使用 Spring JDBC + Flyway，在同一个 DigitalOcean Managed MySQL 集群（主节点 + 备用节点）上各自拥有一个 schema 和独立凭据，并通过数据库授权禁止跨 schema 读取。</w:t>
      </w:r>
    </w:p>
    <w:p>
      <w:pPr>
        <w:keepLines w:val="0"/>
        <w:widowControl/>
        <w:spacing w:after="40"/>
      </w:pPr>
      <w:r>
        <w:rPr>
          <w:rFonts w:eastAsia="Noto Sans CJK SC"/>
          <w:b/>
          <w:i w:val="0"/>
        </w:rPr>
        <w:t xml:space="preserve">组织模型。</w:t>
      </w:r>
      <w:r>
        <w:rPr>
          <w:rFonts w:eastAsia="Noto Sans CJK SC"/>
          <w:b w:val="0"/>
          <w:i w:val="0"/>
        </w:rPr>
        <w:t xml:space="preserve">每个用户属于一个 SUPPLIER 或 MANUFACTURER 组织，组织和角色以令牌 claim 的形式传递。供应商只能修改自己的物料；已发布规格对所有制造商可读；配方、标签和影响结论只对所属制造商可见。</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成员</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主要职责</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Huang Xiangjia</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Specification + Formulation 抽取；组织与归属模型；Starter 中的 outbox 与事件封装；SpecificationPublished 和 FormulaPublished。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Cai Runchen</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Compliance 抽取；投影；两阶段影响分析；验证与影响 API；负载与故障转移实验；Gate 1 期间与 Sun 共同搭建 DOKS 节点池。</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Xu Feiyang</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React 参考消费方：Keycloak 登录、网关 API、影响收件箱、审核/批准/发布界面。Should：合作伙伴客户端和 Notification 服务。</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Zhu Wenyu</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Label Workflow 抽取；存储过程重写与工作流 API；Keycloak realm、客户端与 claim 映射配置，以及 Starter 中的令牌/组织检查；负向授权测试。</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Sun Huajian</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用代码管理 DigitalOcean staging（Terraform + Helm：VPC、DOKS、Managed MySQL、负载均衡、镜像仓库、RabbitMQ 与 Keycloak operator、Grafana Alloy）；各服务 CI/CD；证据绑定到 commit SHA 和镜像 digest。</w:t>
            </w:r>
          </w:p>
        </w:tc>
      </w:tr>
    </w:tbl>
    <w:p>
      <w:pPr>
        <w:spacing w:before="0" w:after="0" w:line="120" w:lineRule="exact"/>
      </w:pPr>
    </w:p>
    <w:p>
      <w:pPr>
        <w:pStyle w:val="Heading2"/>
      </w:pPr>
      <w:r>
        <w:rPr>
          <w:rFonts w:eastAsia="Noto Sans CJK SC"/>
        </w:rPr>
        <w:t>6.4 可扩展性、可用性与容量证据</w:t>
      </w:r>
    </w:p>
    <w:p>
      <w:pPr>
        <w:pStyle w:val="ListBullet"/>
        <w:spacing w:after="22"/>
        <w:ind w:left="255" w:hanging="102"/>
      </w:pPr>
      <w:r>
        <w:rPr>
          <w:rFonts w:eastAsia="Noto Sans CJK SC"/>
          <w:b/>
          <w:i w:val="0"/>
        </w:rPr>
        <w:t xml:space="preserve">负载对象。</w:t>
      </w:r>
      <w:r>
        <w:rPr>
          <w:rFonts w:eastAsia="Noto Sans CJK SC"/>
          <w:b w:val="0"/>
          <w:i w:val="0"/>
        </w:rPr>
        <w:t xml:space="preserve">影响预览 API（把一个规格版本与某制造商的已发布配方逐一评估）只读取本地投影和内存中的不可变版本，压的是 Compliance 的计算能力而不是数据库写入；验证写入单独测量。测试数据以基线 USDA fixtures 为基础合成，扩充到约 20 家制造商、5,000 个已发布配方版本。</w:t>
      </w:r>
    </w:p>
    <w:p>
      <w:pPr>
        <w:pStyle w:val="ListBullet"/>
        <w:spacing w:after="22"/>
        <w:ind w:left="255" w:hanging="102"/>
      </w:pPr>
      <w:r>
        <w:rPr>
          <w:rFonts w:eastAsia="Noto Sans CJK SC"/>
          <w:b/>
          <w:i w:val="0"/>
        </w:rPr>
        <w:t xml:space="preserve">方法。</w:t>
      </w:r>
      <w:r>
        <w:rPr>
          <w:rFonts w:eastAsia="Noto Sans CJK SC"/>
          <w:b w:val="0"/>
          <w:i w:val="0"/>
        </w:rPr>
        <w:t xml:space="preserve">每个 Compliance 副本的资源上限固定且相同（1 vCPU、2 GiB），并运行在独占 CPU 的节点池上，避免共享 vCPU 的干扰影响对比结果。k6 从同区域的独立主机按到达速率施压（开放模型），逐级提高请求速率直到突破 SLO。依次运行：固定 1 副本、固定 3 副本、HPA 自动扩缩容（1–4 副本，CPU 目标 60%），节点池同时在 1–4 个节点之间自动伸缩。指标：可持续吞吐量、p50/p95 延迟、错误率、副本的 CPU/内存和数量，以及 MySQL 的 CPU 和连接数，用来定位瓶颈。</w:t>
      </w:r>
    </w:p>
    <w:p>
      <w:pPr>
        <w:pStyle w:val="ListBullet"/>
        <w:spacing w:after="22"/>
        <w:ind w:left="255" w:hanging="102"/>
      </w:pPr>
      <w:r>
        <w:rPr>
          <w:rFonts w:eastAsia="Noto Sans CJK SC"/>
          <w:b/>
          <w:i w:val="0"/>
        </w:rPr>
        <w:t xml:space="preserve">预先声明的目标（SLO：p95 ≤ 2 秒且错误率 &lt; 1%）。</w:t>
      </w:r>
      <w:r>
        <w:rPr>
          <w:rFonts w:eastAsia="Noto Sans CJK SC"/>
          <w:b w:val="0"/>
          <w:i w:val="0"/>
        </w:rPr>
        <w:t xml:space="preserve">（1）3 副本的最大可持续速率至少是 1 副本的 2 倍。（2）Should：负载阶跃到 1 副本无法承受的速率后，自动扩缩容在 5 分钟内恢复 SLO。目标在测量前固定，事后绝不放宽；未达标时如实报告并分析瓶颈。这些目标只描述测试范围，不代表生产容量。</w:t>
      </w:r>
    </w:p>
    <w:p>
      <w:pPr>
        <w:pStyle w:val="ListBullet"/>
        <w:spacing w:after="22"/>
        <w:ind w:left="255" w:hanging="102"/>
      </w:pPr>
      <w:r>
        <w:rPr>
          <w:rFonts w:eastAsia="Noto Sans CJK SC"/>
          <w:b/>
          <w:i w:val="0"/>
        </w:rPr>
        <w:t>故障转移。在约为 3 副本实测容量 50% 的负载下终止一个 Compliance pod。目标：整个运行期间错误率 &lt; 1%；连续出错的时间窗口不超过 10 秒；p95 在 60 秒内回到 SLO 以内；替补 pod 在 3 分钟内就绪。对应策略：就绪探针、副本分散在不同节点、负载均衡、MySQL 备用节点故障切换、RabbitMQ quorum 队列与死信队列、超时与熔断。DigitalOcean 在 SGP1 内不提供 AWS 风格的可用区，因此本项目只声明所选区域内的 pod 和节点故障韧性，不声明跨可用区或跨区域高可用。</w:t>
      </w:r>
      <w:r>
        <w:rPr>
          <w:rFonts w:eastAsia="Noto Sans CJK SC"/>
          <w:b w:val="0"/>
          <w:i w:val="0"/>
        </w:rPr>
      </w:r>
    </w:p>
    <w:p>
      <w:pPr>
        <w:pStyle w:val="Heading2"/>
      </w:pPr>
      <w:r>
        <w:rPr>
          <w:rFonts w:eastAsia="Noto Sans CJK SC"/>
        </w:rPr>
        <w:t>6.5 平台工程与复用评估</w:t>
      </w:r>
    </w:p>
    <w:p>
      <w:pPr>
        <w:keepLines w:val="0"/>
        <w:widowControl/>
        <w:spacing w:after="40"/>
      </w:pPr>
      <w:r>
        <w:rPr>
          <w:rFonts w:eastAsia="Noto Sans CJK SC"/>
          <w:b w:val="0"/>
          <w:i w:val="0"/>
        </w:rPr>
        <w:t xml:space="preserve">现有 React 应用改造为参考消费方，只通过网关调用公开 API。用两项测量证明基于平台构建的收益。（1）Should：一个轻量合作伙伴客户端复用 Specification、影响和验证契约，不访问数据库、不修改领域服务；记录接入步骤、配置以及首次端到端调用成功所需的时间。（2）Should：用 Starter、流水线和 Helm 模板创建 Notification 服务（针对 REVIEW_REQUIRED 结论发送邮件或 webhook），记录从创建到部署至 staging 的时间和人工步骤，并与第一个抽取的服务对比。</w:t>
      </w:r>
    </w:p>
    <w:p>
      <w:pPr>
        <w:pStyle w:val="Heading2"/>
      </w:pPr>
      <w:r>
        <w:rPr>
          <w:rFonts w:eastAsia="Noto Sans CJK SC"/>
        </w:rPr>
        <w:t>6.6 DevSecOps、安全与可观测性</w:t>
      </w:r>
    </w:p>
    <w:p>
      <w:pPr>
        <w:pStyle w:val="ListBullet"/>
        <w:spacing w:after="22"/>
        <w:ind w:left="255" w:hanging="102"/>
      </w:pPr>
      <w:r>
        <w:rPr>
          <w:rFonts w:eastAsia="Noto Sans CJK SC"/>
          <w:b/>
          <w:i w:val="0"/>
        </w:rPr>
        <w:t xml:space="preserve">交付。</w:t>
      </w:r>
      <w:r>
        <w:rPr>
          <w:rFonts w:eastAsia="Noto Sans CJK SC"/>
          <w:b w:val="0"/>
          <w:i w:val="0"/>
        </w:rPr>
        <w:t xml:space="preserve">每个服务使用一个按路径触发的可复用 GitHub Actions 工作流：单元测试、Testcontainers 集成测试、契约测试、Sonar、Trivy、OWASP Dependency-Check，然后把以 commit SHA 标记的不可变镜像推送到 DigitalOcean Container Registry，用 Helm 部署到 DOKS 并执行冒烟测试。流水线使用限定权限、会过期的 DigitalOcean API 令牌，存放在 GitHub environment secret 中。阻塞性检查一律不使用 continue-on-error。</w:t>
      </w:r>
    </w:p>
    <w:p>
      <w:pPr>
        <w:pStyle w:val="ListBullet"/>
        <w:spacing w:after="22"/>
        <w:ind w:left="255" w:hanging="102"/>
      </w:pPr>
      <w:r>
        <w:rPr>
          <w:rFonts w:eastAsia="Noto Sans CJK SC"/>
          <w:b/>
          <w:i w:val="0"/>
        </w:rPr>
        <w:t xml:space="preserve">安全。</w:t>
      </w:r>
      <w:r>
        <w:rPr>
          <w:rFonts w:eastAsia="Noto Sans CJK SC"/>
          <w:b w:val="0"/>
          <w:i w:val="0"/>
        </w:rPr>
        <w:t xml:space="preserve">Keycloak OIDC；每个服务都做 RBAC 和组织归属检查；负载均衡处 TLS；凭据由流水线从 GitHub environment secret 注入 Kubernetes Secret，绝不提交到仓库；最小权限体现在每个服务独立的 MySQL 用户和 RabbitMQ 用户、默认拒绝的 NetworkPolicy 以及限定权限的 API 令牌；针对 401、403 和跨组织访问的负向测试。遗留的 X-Auth-Provider/X-External-Subject 请求头只保留在本地配置中。</w:t>
      </w:r>
    </w:p>
    <w:p>
      <w:pPr>
        <w:pStyle w:val="ListBullet"/>
        <w:spacing w:after="22"/>
        <w:ind w:left="255" w:hanging="102"/>
      </w:pPr>
      <w:r>
        <w:rPr>
          <w:rFonts w:eastAsia="Noto Sans CJK SC"/>
          <w:b/>
          <w:i w:val="0"/>
        </w:rPr>
        <w:t xml:space="preserve">可观测性。</w:t>
      </w:r>
      <w:r>
        <w:rPr>
          <w:rFonts w:eastAsia="Noto Sans CJK SC"/>
          <w:b w:val="0"/>
          <w:i w:val="0"/>
        </w:rPr>
        <w:t xml:space="preserve">结构化日志和指标（关联 ID 贯穿 HTTP 和事件封装）由 Grafana Alloy 发送到 Grafana Cloud（免费档：Prometheus 指标和 Loki 日志），并为扩展和故障转移实验建立仪表盘。演示时通过 Loki 查询按关联 ID 重建审计链。Should：基于 OpenTelemetry 和 Grafana Tempo 的分布式追踪。Could：中央审计只读模型。</w:t>
      </w:r>
    </w:p>
    <w:p>
      <w:pPr>
        <w:pStyle w:val="Heading2"/>
      </w:pPr>
      <w:r>
        <w:rPr>
          <w:rFonts w:eastAsia="Noto Sans CJK SC"/>
        </w:rPr>
        <w:t>6.7 演示、范围分级与边界</w:t>
      </w:r>
    </w:p>
    <w:p>
      <w:pPr>
        <w:keepLines w:val="0"/>
        <w:widowControl/>
        <w:spacing w:after="40"/>
      </w:pPr>
      <w:r>
        <w:rPr>
          <w:rFonts w:eastAsia="Noto Sans CJK SC"/>
          <w:b/>
          <w:i w:val="0"/>
        </w:rPr>
        <w:t xml:space="preserve">最终演示</w:t>
      </w:r>
      <w:r>
        <w:rPr>
          <w:rFonts w:eastAsia="Noto Sans CJK SC"/>
          <w:b w:val="0"/>
          <w:i w:val="0"/>
        </w:rPr>
        <w:t xml:space="preserve">（编号与图 1 对应）：（1）供应商发布大豆卵磷脂规格 V2；（2）SpecificationPublished 传播；（3）Compliance 匹配仍在使用 V1 的配方，在制造商收件箱中显示 POTENTIAL 结论；（4）制造商发布采用 V2 的配方；（5）CONFIRMED 的 REVIEW_REQUIRED 结论创建审核任务；（6）Label Workflow 完成草稿、同步验证、提交审核、maker-checker 批准和原子发布；（7）LabelPublished 更新 Compliance 投影。随后重建审计链，在仪表盘上展示 Compliance 的扩展和故障转移，并通过流水线交付一次变更。</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8200"/>
      </w:tblGrid>
      <w:tr>
        <w:trPr>
          <w:cantSplit/>
          <w:tblHeader/>
        </w:trPr>
        <w:tc>
          <w:tcPr>
            <w:tcW w:type="dxa" w:w="19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分级</w:t>
            </w:r>
          </w:p>
        </w:tc>
        <w:tc>
          <w:tcPr>
            <w:tcW w:type="dxa" w:w="82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范围</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Must</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四个服务在 DOKS 上独立部署、各有独立 schema；组织模型；Keycloak 与 Spring Cloud Gateway；四类事件的 outbox + RabbitMQ；两阶段影响分析；审核/批准/发布 API 与界面；1 副本对 3 副本负载测试；一次故障转移测试；各服务 CI/CD 到 staging；日志、指标与关联 ID。</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Should（进度缓冲）</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自动扩缩容实验；合作伙伴客户端接入测量；通过 Golden Path 创建 Notification 服务；分布式追踪。</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Could</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中央审计只读模型；基于队列深度自动扩缩容的事件突发测试；覆盖所有事件的消费者驱动契约测试。</w:t>
            </w:r>
          </w:p>
        </w:tc>
      </w:tr>
    </w:tbl>
    <w:p>
      <w:pPr>
        <w:spacing w:before="0" w:after="0" w:line="120" w:lineRule="exact"/>
      </w:pPr>
    </w:p>
    <w:p>
      <w:pPr>
        <w:keepLines w:val="0"/>
        <w:widowControl/>
        <w:spacing w:after="40"/>
      </w:pPr>
      <w:r>
        <w:rPr>
          <w:rFonts w:eastAsia="Noto Sans CJK SC"/>
          <w:b w:val="0"/>
          <w:i w:val="0"/>
        </w:rPr>
        <w:t xml:space="preserve">Should 项只在所有 Must 关口通过后才开始，进度落后时最先砍掉。本项目展示的是一个配置化的食品标签合规场景和一套平台工程方法；不提供法规层面的法律认证，不做多区域高可用，不做零停机生产迁移，也不构建通用法规规则市场。单体在抽取期间只作为回归判定基准保留。</w:t>
      </w:r>
    </w:p>
    <w:p>
      <w:pPr>
        <w:pStyle w:val="Heading1"/>
      </w:pPr>
      <w:r>
        <w:rPr>
          <w:rFonts w:eastAsia="Noto Sans CJK SC"/>
        </w:rPr>
        <w:t>7. 工作量估算</w:t>
      </w:r>
    </w:p>
    <w:p>
      <w:pPr>
        <w:keepLines w:val="0"/>
        <w:widowControl/>
        <w:spacing w:after="40"/>
      </w:pPr>
      <w:r>
        <w:rPr>
          <w:rFonts w:eastAsia="Noto Sans CJK SC"/>
          <w:b w:val="0"/>
          <w:i w:val="0"/>
        </w:rPr>
        <w:t>团队总工作量约 50 人日（每人约 10 人日）。官方 8–20 Oct 的 Project Conduct 窗口按一个两周实施周期管理，内部设三个关口。Proposal Review 之前只做可逆的工作：基线分析、架构设计、契约，以及用 Terraform 试搭一次空的 staging 环境（用完即销毁），确保实施第一天就有可用的平台。staging 部署在 DigitalOcean 新加坡区域（SGP1），按当前标价估算每天约 6–8 美元（三个共享 CPU 平台节点、实验期间一个独占 CPU 的 Compliance 节点、带备用节点的 Managed MySQL、负载均衡、镜像仓库及必要存储）。环境从 Gate 1 运行到 Presentation 冻结，之后销毁；项目预算上限约 150 美元。任何账号专属的促销额度仅作为可选资金来源，实际开通前另行核实，不作为方案成立的前提。</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200"/>
        <w:gridCol w:w="6400"/>
      </w:tblGrid>
      <w:tr>
        <w:trPr>
          <w:cantSplit/>
          <w:tblHeader/>
        </w:trPr>
        <w:tc>
          <w:tcPr>
            <w:tcW w:type="dxa" w:w="15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时间</w:t>
            </w:r>
          </w:p>
        </w:tc>
        <w:tc>
          <w:tcPr>
            <w:tcW w:type="dxa" w:w="22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阶段</w:t>
            </w:r>
          </w:p>
        </w:tc>
        <w:tc>
          <w:tcPr>
            <w:tcW w:type="dxa" w:w="64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主要工作与出口条件</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22 Sep – 7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Proposal 与架构</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基线冻结在 a3520e1；上下文映射；OpenAPI 与事件 Schema v1；测试计划；Terraform 试搭。</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8 – 11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1：平台骨架</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Starter；Spring Cloud Gateway + Keycloak；由 DOKS、Managed MySQL、RabbitMQ 组成的 staging；CI 能部署每个服务的骨架。</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12 – 16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2：服务</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四个服务使用独立 schema；组织模型；存储过程重写完成；审核/批准/发布 API；事件链路打通；等价性测试通过。</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17 – 20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3：影响分析与证据</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两阶段影响分析在 staging 上端到端跑通；负载与故障转移实验；Gate 1–2 达标后启动 Should 项；进度报告。</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21 – 26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Presentation 冻结</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回归测试、最终实测、演示彩排与 Presentation。</w:t>
            </w:r>
          </w:p>
        </w:tc>
      </w:tr>
      <w:tr>
        <w:trPr>
          <w:cantSplit/>
        </w:trPr>
        <w:tc>
          <w:tcPr>
            <w:tcW w:type="dxa" w:w="1500"/>
            <w:tcMar>
              <w:top w:w="30" w:type="dxa"/>
              <w:start w:w="60" w:type="dxa"/>
              <w:bottom w:w="30" w:type="dxa"/>
              <w:end w:w="60" w:type="dxa"/>
            </w:tcMar>
            <w:vAlign w:val="center"/>
          </w:tcPr>
          <w:p>
            <w:pPr>
              <w:spacing w:before="0" w:after="0"/>
            </w:pPr>
            <w:r>
              <w:rPr>
                <w:rFonts w:ascii="Arial" w:hAnsi="Arial" w:eastAsia="Noto Sans CJK SC"/>
                <w:b w:val="0"/>
                <w:sz w:val="15"/>
              </w:rPr>
              <w:t xml:space="preserve">27 Oct – 16 Nov</w:t>
            </w:r>
          </w:p>
        </w:tc>
        <w:tc>
          <w:tcPr>
            <w:tcW w:type="dxa" w:w="2200"/>
            <w:tcMar>
              <w:top w:w="30" w:type="dxa"/>
              <w:start w:w="60" w:type="dxa"/>
              <w:bottom w:w="30" w:type="dxa"/>
              <w:end w:w="60" w:type="dxa"/>
            </w:tcMar>
            <w:vAlign w:val="center"/>
          </w:tcPr>
          <w:p>
            <w:pPr>
              <w:spacing w:before="0" w:after="0"/>
            </w:pPr>
            <w:r>
              <w:rPr>
                <w:rFonts w:ascii="Arial" w:hAnsi="Arial" w:eastAsia="Noto Sans CJK SC"/>
                <w:b w:val="0"/>
                <w:sz w:val="15"/>
              </w:rPr>
              <w:t xml:space="preserve">最终报告</w:t>
            </w:r>
          </w:p>
        </w:tc>
        <w:tc>
          <w:tcPr>
            <w:tcW w:type="dxa" w:w="6400"/>
            <w:tcMar>
              <w:top w:w="30" w:type="dxa"/>
              <w:start w:w="60" w:type="dxa"/>
              <w:bottom w:w="30" w:type="dxa"/>
              <w:end w:w="60" w:type="dxa"/>
            </w:tcMar>
            <w:vAlign w:val="center"/>
          </w:tcPr>
          <w:p>
            <w:pPr>
              <w:spacing w:before="0" w:after="0"/>
            </w:pPr>
            <w:r>
              <w:rPr>
                <w:rFonts w:ascii="Arial" w:hAnsi="Arial" w:eastAsia="Noto Sans CJK SC"/>
                <w:b w:val="0"/>
                <w:sz w:val="15"/>
              </w:rPr>
              <w:t xml:space="preserve">吸收 Presentation 反馈；整理实测结果、架构决策与限制。</w:t>
            </w:r>
          </w:p>
        </w:tc>
      </w:tr>
    </w:tbl>
    <w:p>
      <w:pPr>
        <w:spacing w:before="0" w:after="0" w:line="120" w:lineRule="exact"/>
      </w:pP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900"/>
        <w:gridCol w:w="1100"/>
        <w:gridCol w:w="2100"/>
      </w:tblGrid>
      <w:tr>
        <w:trPr>
          <w:cantSplit/>
          <w:tblHeader/>
        </w:trPr>
        <w:tc>
          <w:tcPr>
            <w:tcW w:type="dxa" w:w="69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WBS 任务</w:t>
            </w:r>
          </w:p>
        </w:tc>
        <w:tc>
          <w:tcPr>
            <w:tcW w:type="dxa" w:w="11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分级</w:t>
            </w:r>
          </w:p>
        </w:tc>
        <w:tc>
          <w:tcPr>
            <w:tcW w:type="dxa" w:w="21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人日</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基线与领域分析、边界、契约、staging 试搭</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服务 Starter、Spring Cloud Gateway、Keycloak 与组织 claim</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服务抽取、schema 拆分、组织模型</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8</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存储过程重写、等价性测试、审核/批准/发布 API 与界面</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Outbox、RabbitMQ、四类事件、投影、幂等消费</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两阶段影响分析（核心域）</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4</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DigitalOcean staging 代码化（Terraform、Helm、operator）与可观测性基础</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6</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各服务 CI/CD 与安全关口</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负载与故障转移实验（数据集、k6 脚本、运行）</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端到端演示、Presentation 与最终报告</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自动扩缩容、合作伙伴客户端、Golden Path 通知服务、分布式追踪</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Should</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4</w:t>
            </w:r>
          </w:p>
        </w:tc>
      </w:tr>
      <w:tr>
        <w:trPr>
          <w:cantSplit/>
        </w:trPr>
        <w:tc>
          <w:tcPr>
            <w:tcW w:type="dxa" w:w="6900"/>
            <w:tcMar>
              <w:top w:w="30" w:type="dxa"/>
              <w:start w:w="60" w:type="dxa"/>
              <w:bottom w:w="30" w:type="dxa"/>
              <w:end w:w="60" w:type="dxa"/>
            </w:tcMar>
            <w:vAlign w:val="center"/>
          </w:tcPr>
          <w:p>
            <w:pPr>
              <w:spacing w:before="0" w:after="0"/>
            </w:pPr>
            <w:r>
              <w:rPr>
                <w:rFonts w:ascii="Arial" w:hAnsi="Arial" w:eastAsia="Noto Sans CJK SC"/>
                <w:b/>
                <w:sz w:val="15"/>
              </w:rPr>
              <w:t xml:space="preserve">总计</w:t>
            </w:r>
          </w:p>
        </w:tc>
        <w:tc>
          <w:tcPr>
            <w:tcW w:type="dxa" w:w="1100"/>
            <w:tcMar>
              <w:top w:w="30" w:type="dxa"/>
              <w:start w:w="60" w:type="dxa"/>
              <w:bottom w:w="30" w:type="dxa"/>
              <w:end w:w="60" w:type="dxa"/>
            </w:tcMar>
            <w:vAlign w:val="center"/>
          </w:tcPr>
          <w:p>
            <w:pPr>
              <w:spacing w:before="0" w:after="0"/>
            </w:pPr>
          </w:p>
        </w:tc>
        <w:tc>
          <w:tcPr>
            <w:tcW w:type="dxa" w:w="2100"/>
            <w:tcMar>
              <w:top w:w="30" w:type="dxa"/>
              <w:start w:w="60" w:type="dxa"/>
              <w:bottom w:w="30" w:type="dxa"/>
              <w:end w:w="60" w:type="dxa"/>
            </w:tcMar>
            <w:vAlign w:val="center"/>
          </w:tcPr>
          <w:p>
            <w:pPr>
              <w:spacing w:before="0" w:after="0"/>
            </w:pPr>
            <w:r>
              <w:rPr>
                <w:rFonts w:ascii="Arial" w:hAnsi="Arial" w:eastAsia="Noto Sans CJK SC"/>
                <w:b/>
                <w:sz w:val="15"/>
              </w:rPr>
              <w:t xml:space="preserve">50</w:t>
            </w:r>
            <w:r>
              <w:rPr>
                <w:rFonts w:ascii="Arial" w:hAnsi="Arial" w:eastAsia="Noto Sans CJK SC"/>
                <w:b w:val="0"/>
                <w:sz w:val="15"/>
              </w:rPr>
              <w:t xml:space="preserve">（Must 46 + Should 4）</w:t>
            </w:r>
          </w:p>
        </w:tc>
      </w:tr>
    </w:tbl>
    <w:p>
      <w:pPr>
        <w:spacing w:before="0" w:after="0" w:line="120" w:lineRule="exact"/>
      </w:pPr>
    </w:p>
    <w:sectPr>
      <w:footerReference w:type="default" r:id="rId9"/>
      <w:pgSz w:w="11906" w:h="16838"/>
      <w:pgMar w:top="822"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240" w:lineRule="auto"/>
    </w:pPr>
    <w:rPr>
      <w:rFonts w:ascii="Arial" w:hAnsi="Arial" w:eastAsia="Noto Sans CJK SC"/>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rial" w:hAnsi="Arial" w:eastAsia="SimHei"/>
      <w:b/>
      <w:bCs/>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eastAsia="SimHei"/>
      <w:b/>
      <w:bCs/>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rial" w:hAnsi="Arial" w:eastAsia="SimHe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00"/>
      <w:contextualSpacing/>
    </w:pPr>
    <w:rPr>
      <w:rFonts w:asciiTheme="majorHAnsi" w:eastAsiaTheme="majorEastAsia" w:hAnsiTheme="majorHAnsi" w:cstheme="majorBidi" w:ascii="Arial" w:hAnsi="Arial" w:eastAsia="SimHe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SpecTrace-CN SWE5001 项目建议书 - 最终中文版</dc:title>
  <dc:subject/>
  <dc:creator/>
  <cp:keywords/>
  <dc:description>2026-09-26 final translation/reference copy.</dc:description>
  <cp:lastModifiedBy/>
  <cp:revision>1</cp:revision>
  <dcterms:created xsi:type="dcterms:W3CDTF">2013-12-23T23:15:00Z</dcterms:created>
  <dcterms:modified xsi:type="dcterms:W3CDTF">2013-12-23T23:15:00Z</dcterms:modified>
  <cp:category/>
</cp:coreProperties>
</file>