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40"/>
      </w:pPr>
      <w:r>
        <w:rPr>
          <w:rFonts w:ascii="Arial" w:hAnsi="Arial" w:eastAsia="SimHei"/>
          <w:b/>
          <w:sz w:val="38"/>
        </w:rPr>
        <w:t>SpecTrace-CN Architecture - Source of Truth v2.0</w:t>
      </w:r>
    </w:p>
    <w:p>
      <w:pPr>
        <w:keepLines w:val="0"/>
        <w:widowControl/>
      </w:pPr>
      <w:r>
        <w:rPr>
          <w:b/>
          <w:i w:val="0"/>
        </w:rPr>
        <w:t xml:space="preserve">Baseline: hxj04121-lab/FoodLabelFlow main@a3520e1 (25 Sep 2026) · Staging: DigitalOcean SGP1</w:t>
      </w:r>
    </w:p>
    <w:p>
      <w:pPr>
        <w:keepLines w:val="0"/>
        <w:widowControl/>
        <w:spacing w:after="40"/>
      </w:pPr>
      <w:r>
        <w:rPr>
          <w:b w:val="0"/>
          <w:i w:val="0"/>
        </w:rPr>
        <w:t xml:space="preserve">Purpose: canonical target architecture for SWE5001 implementation, contracts, cloud deployment, quality-attribute evidence and final-report traceability.</w:t>
      </w:r>
    </w:p>
    <w:p>
      <w:pPr>
        <w:keepLines w:val="0"/>
        <w:widowControl/>
        <w:spacing w:after="40"/>
      </w:pPr>
      <w:r>
        <w:rPr>
          <w:b w:val="0"/>
          <w:i w:val="0"/>
        </w:rPr>
        <w:t xml:space="preserve">State model: BASELINE describes the current SpecTrace code; TARGET MVP describes the intended SpecTrace-CN architecture. Differences are allowed only when explicitly recorded as architecture decisions.</w:t>
      </w:r>
    </w:p>
    <w:p>
      <w:pPr>
        <w:keepLines w:val="0"/>
        <w:widowControl/>
        <w:spacing w:after="40"/>
      </w:pPr>
      <w:r>
        <w:rPr>
          <w:b/>
          <w:i w:val="0"/>
        </w:rPr>
        <w:t xml:space="preserve">v2.0 changes.</w:t>
      </w:r>
      <w:r>
        <w:rPr>
          <w:b w:val="0"/>
          <w:i w:val="0"/>
        </w:rPr>
        <w:t xml:space="preserve"> Aligned with Project Proposal v2: verified baseline gaps, two-phase impact flow, organisation model (BR-11), stored-procedure rewrite, ingredient ownership, DigitalOcean deployment, fixed-CPU open-model load testing and Must/Should/Could scope. Detailed rules: SpecTrace-CN_Architecture_AI_Source_of_Truth_v2.md.</w:t>
      </w:r>
    </w:p>
    <w:p>
      <w:pPr>
        <w:pStyle w:val="Heading1"/>
      </w:pPr>
      <w:r>
        <w:rPr/>
        <w:t>1. Baseline Snapshot</w:t>
      </w:r>
    </w:p>
    <w:p>
      <w:pPr>
        <w:keepLines w:val="0"/>
        <w:widowControl/>
        <w:spacing w:after="40"/>
      </w:pPr>
      <w:r>
        <w:rPr>
          <w:b w:val="0"/>
          <w:i w:val="0"/>
        </w:rPr>
        <w:t xml:space="preserve">The starting point is main commit a3520e1f1d450796a694b6930d7792dda0f2b512: a React/TypeScript front end and a Java 21 Spring Boot 4.1 modular monolith using Spring JDBC, Flyway and MySQL 8.4.x, run locally with Docker Compose and built by a substantive GitHub Actions pipeline.</w:t>
      </w:r>
    </w:p>
    <w:tbl>
      <w:tblPr>
        <w:tblStyle w:val="TableGrid"/>
        <w:tblW w:w="1010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8000"/>
      </w:tblGrid>
      <w:tr>
        <w:trPr>
          <w:cantSplit/>
          <w:tblHeader/>
        </w:trPr>
        <w:tc>
          <w:tcPr>
            <w:tcW w:type="dxa" w:w="21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Baseline area</w:t>
            </w:r>
          </w:p>
        </w:tc>
        <w:tc>
          <w:tcPr>
            <w:tcW w:type="dxa" w:w="80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State at a3520e1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Runtime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Single Spring Boot deployable; React/TypeScript front end; one MySQL database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Persistence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Spring JDBC + Flyway; label submit/decision/publish rules in MySQL stored procedures with embedded RBAC joins and audit writes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Reusable capability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Versioned supplier/material/specification and product/formula with release; header-based identity + database RBAC; label drafts and structured declarations; version-bound derived allergens; validation runs via REST; LabelSnapshotPort and FormulaCompositionPort seams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Engineering evidence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MySQL Testcontainers; Playwright; container smoke; JaCoCo/Sonar; Trivy; OWASP Dependency-Check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Verified gaps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Review/approval/publication have no API or UI (publish procedure called only by tests); impact module empty; no organisation model; cross-context FKs (ingredient, data_provenance, user_account, product pointer); no cloud; no independent scaling</w:t>
            </w:r>
          </w:p>
        </w:tc>
      </w:tr>
    </w:tbl>
    <w:p>
      <w:pPr>
        <w:spacing w:before="0" w:after="0" w:line="120" w:lineRule="exact"/>
      </w:pPr>
    </w:p>
    <w:p>
      <w:pPr>
        <w:pStyle w:val="Heading1"/>
      </w:pPr>
      <w:r>
        <w:rPr/>
        <w:t>2. Architecture Drivers</w:t>
      </w:r>
    </w:p>
    <w:p>
      <w:pPr>
        <w:keepLines w:val="0"/>
        <w:widowControl/>
        <w:spacing w:after="40"/>
      </w:pPr>
      <w:r>
        <w:rPr>
          <w:b w:val="0"/>
          <w:i w:val="0"/>
        </w:rPr>
        <w:t xml:space="preserve">Primary Seed: Versioned Supplier Material Specification. Producer: ingredient supplier. Consumer: food manufacturer. The codebase is the technical baseline, not the Seed. Core interaction is two-phase: SpecificationPublished → POTENTIAL finding (matchmaking); manufacturer adoption (FormulaPublished) → CONFIRMED finding → label review, approval and publication.</w:t>
      </w:r>
    </w:p>
    <w:tbl>
      <w:tblPr>
        <w:tblStyle w:val="TableGrid"/>
        <w:tblW w:w="1010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8000"/>
      </w:tblGrid>
      <w:tr>
        <w:trPr>
          <w:cantSplit/>
          <w:tblHeader/>
        </w:trPr>
        <w:tc>
          <w:tcPr>
            <w:tcW w:type="dxa" w:w="21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Quality attribute</w:t>
            </w:r>
          </w:p>
        </w:tc>
        <w:tc>
          <w:tcPr>
            <w:tcW w:type="dxa" w:w="80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Scenario / architecture response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Scalability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Compliance max sustainable rate at SLO: 3 replicas ≥ 2 × 1 replica; fixed 1 vCPU per replica on a dedicated-CPU pool; HPA + node autoscaling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Performance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SLO p95 ≤ 2 s, errors &lt; 1%; no synchronous upstream fan-out; in-memory immutable versions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Availability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Kill one of 3 Compliance pods at ~50% capacity: run errors &lt; 1%, no error window &gt; 10 s, p95 within SLO after 60 s, replacement ready &lt; 3 min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Security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Keycloak OIDC/JWT; RBAC + organisation checks; TLS; default-deny NetworkPolicy; per-service credentials; scans; negative tests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Consistency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Strong service-local transactions; eventual cross-service propagation via outbox + RabbitMQ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Maintainability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DDD bounded contexts; service-owned data; versioned contracts; starter without domain code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Traceability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Immutable versions; local audit + outbox; correlation IDs across HTTP and events; log queries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Portability / cost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Same stack on local Docker Compose and DigitalOcean; staging within student credit</w:t>
            </w:r>
          </w:p>
        </w:tc>
      </w:tr>
    </w:tbl>
    <w:p>
      <w:pPr>
        <w:spacing w:before="0" w:after="0" w:line="120" w:lineRule="exact"/>
      </w:pPr>
    </w:p>
    <w:p>
      <w:pPr>
        <w:pStyle w:val="Heading1"/>
      </w:pPr>
      <w:r>
        <w:rPr/>
        <w:t>3. Target Logical Architecture</w:t>
      </w:r>
    </w:p>
    <w:p>
      <w:pPr>
        <w:keepLines w:val="0"/>
        <w:widowControl/>
        <w:spacing w:after="40"/>
      </w:pPr>
      <w:r>
        <w:rPr>
          <w:b w:val="0"/>
          <w:i w:val="0"/>
        </w:rPr>
        <w:t xml:space="preserve">Four domain services give enough separation to demonstrate microservices, independent scaling and reuse within 50 man-days. Dependencies point one way, downstream from Specification.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1168146"/>
            <wp:docPr id="1" name="Fig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6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i/>
          <w:sz w:val="16"/>
        </w:rPr>
        <w:t xml:space="preserve">Figure 1. Target context map and two-phase interaction. Solid = synchronous HTTP; dashed = event via outbox and RabbitMQ.</w:t>
      </w:r>
    </w:p>
    <w:tbl>
      <w:tblPr>
        <w:tblStyle w:val="TableGrid"/>
        <w:tblW w:w="1010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650"/>
        <w:gridCol w:w="1950"/>
        <w:gridCol w:w="3700"/>
        <w:gridCol w:w="2800"/>
      </w:tblGrid>
      <w:tr>
        <w:trPr>
          <w:cantSplit/>
          <w:tblHeader/>
        </w:trPr>
        <w:tc>
          <w:tcPr>
            <w:tcW w:type="dxa" w:w="165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4"/>
              </w:rPr>
              <w:t xml:space="preserve">Service</w:t>
            </w:r>
          </w:p>
        </w:tc>
        <w:tc>
          <w:tcPr>
            <w:tcW w:type="dxa" w:w="195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4"/>
              </w:rPr>
              <w:t xml:space="preserve">Class</w:t>
            </w:r>
          </w:p>
        </w:tc>
        <w:tc>
          <w:tcPr>
            <w:tcW w:type="dxa" w:w="37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4"/>
              </w:rPr>
              <w:t xml:space="preserve">Owns</w:t>
            </w:r>
          </w:p>
        </w:tc>
        <w:tc>
          <w:tcPr>
            <w:tcW w:type="dxa" w:w="28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4"/>
              </w:rPr>
              <w:t xml:space="preserve">Primary contract</w:t>
            </w:r>
          </w:p>
        </w:tc>
      </w:tr>
      <w:tr>
        <w:trPr>
          <w:cantSplit/>
        </w:trPr>
        <w:tc>
          <w:tcPr>
            <w:tcW w:type="dxa" w:w="165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4"/>
              </w:rPr>
              <w:t xml:space="preserve">Specification</w:t>
            </w:r>
          </w:p>
        </w:tc>
        <w:tc>
          <w:tcPr>
            <w:tcW w:type="dxa" w:w="195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4"/>
              </w:rPr>
              <w:t xml:space="preserve">Supporting / Producer, upstream</w:t>
            </w:r>
          </w:p>
        </w:tc>
        <w:tc>
          <w:tcPr>
            <w:tcW w:type="dxa" w:w="37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4"/>
              </w:rPr>
              <w:t xml:space="preserve">supplier, material, ingredient vocabulary, spec versions and components</w:t>
            </w:r>
          </w:p>
        </w:tc>
        <w:tc>
          <w:tcPr>
            <w:tcW w:type="dxa" w:w="2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4"/>
              </w:rPr>
              <w:t xml:space="preserve">Producer API; publishes SpecificationPublished</w:t>
            </w:r>
          </w:p>
        </w:tc>
      </w:tr>
      <w:tr>
        <w:trPr>
          <w:cantSplit/>
        </w:trPr>
        <w:tc>
          <w:tcPr>
            <w:tcW w:type="dxa" w:w="165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4"/>
              </w:rPr>
              <w:t xml:space="preserve">Formulation</w:t>
            </w:r>
          </w:p>
        </w:tc>
        <w:tc>
          <w:tcPr>
            <w:tcW w:type="dxa" w:w="195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4"/>
              </w:rPr>
              <w:t xml:space="preserve">Supporting / manufacturer-owned</w:t>
            </w:r>
          </w:p>
        </w:tc>
        <w:tc>
          <w:tcPr>
            <w:tcW w:type="dxa" w:w="37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4"/>
              </w:rPr>
              <w:t xml:space="preserve">product, formula versions and items, released-spec projection</w:t>
            </w:r>
          </w:p>
        </w:tc>
        <w:tc>
          <w:tcPr>
            <w:tcW w:type="dxa" w:w="2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4"/>
              </w:rPr>
              <w:t xml:space="preserve">Formula API; publishes FormulaPublished</w:t>
            </w:r>
          </w:p>
        </w:tc>
      </w:tr>
      <w:tr>
        <w:trPr>
          <w:cantSplit/>
        </w:trPr>
        <w:tc>
          <w:tcPr>
            <w:tcW w:type="dxa" w:w="165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4"/>
              </w:rPr>
              <w:t xml:space="preserve">Compliance</w:t>
            </w:r>
          </w:p>
        </w:tc>
        <w:tc>
          <w:tcPr>
            <w:tcW w:type="dxa" w:w="195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4"/>
              </w:rPr>
              <w:t xml:space="preserve">CORE / scale-out</w:t>
            </w:r>
          </w:p>
        </w:tc>
        <w:tc>
          <w:tcPr>
            <w:tcW w:type="dxa" w:w="37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4"/>
              </w:rPr>
              <w:t xml:space="preserve">allergen dictionary, ingredient→allergen mappings, rule sets, validation, impact findings, projections</w:t>
            </w:r>
          </w:p>
        </w:tc>
        <w:tc>
          <w:tcPr>
            <w:tcW w:type="dxa" w:w="2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4"/>
              </w:rPr>
              <w:t xml:space="preserve">validation (internal), impact-preview and inbox APIs; publishes ImpactFinding</w:t>
            </w:r>
          </w:p>
        </w:tc>
      </w:tr>
      <w:tr>
        <w:trPr>
          <w:cantSplit/>
        </w:trPr>
        <w:tc>
          <w:tcPr>
            <w:tcW w:type="dxa" w:w="165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4"/>
              </w:rPr>
              <w:t xml:space="preserve">Label Workflow</w:t>
            </w:r>
          </w:p>
        </w:tc>
        <w:tc>
          <w:tcPr>
            <w:tcW w:type="dxa" w:w="195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4"/>
              </w:rPr>
              <w:t xml:space="preserve">Supporting</w:t>
            </w:r>
          </w:p>
        </w:tc>
        <w:tc>
          <w:tcPr>
            <w:tcW w:type="dxa" w:w="37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4"/>
              </w:rPr>
              <w:t xml:space="preserve">labels, declarations, validation records, review, approval, publication, current-label flag</w:t>
            </w:r>
          </w:p>
        </w:tc>
        <w:tc>
          <w:tcPr>
            <w:tcW w:type="dxa" w:w="2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4"/>
              </w:rPr>
              <w:t xml:space="preserve">Workflow API; publishes LabelPublished</w:t>
            </w:r>
          </w:p>
        </w:tc>
      </w:tr>
    </w:tbl>
    <w:p>
      <w:pPr>
        <w:spacing w:before="0" w:after="0" w:line="120" w:lineRule="exact"/>
      </w:pPr>
    </w:p>
    <w:p>
      <w:pPr>
        <w:pStyle w:val="Heading1"/>
      </w:pPr>
      <w:r>
        <w:rPr/>
        <w:t>4. Baseline-to-Target Transition</w:t>
      </w:r>
    </w:p>
    <w:tbl>
      <w:tblPr>
        <w:tblStyle w:val="TableGrid"/>
        <w:tblW w:w="1010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2100"/>
        <w:gridCol w:w="4800"/>
      </w:tblGrid>
      <w:tr>
        <w:trPr>
          <w:cantSplit/>
          <w:tblHeader/>
        </w:trPr>
        <w:tc>
          <w:tcPr>
            <w:tcW w:type="dxa" w:w="32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Baseline</w:t>
            </w:r>
          </w:p>
        </w:tc>
        <w:tc>
          <w:tcPr>
            <w:tcW w:type="dxa" w:w="21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Target</w:t>
            </w:r>
          </w:p>
        </w:tc>
        <w:tc>
          <w:tcPr>
            <w:tcW w:type="dxa" w:w="48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Transition rule</w:t>
            </w:r>
          </w:p>
        </w:tc>
      </w:tr>
      <w:tr>
        <w:trPr>
          <w:cantSplit/>
        </w:trPr>
        <w:tc>
          <w:tcPr>
            <w:tcW w:type="dxa" w:w="32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catalog: supplier/material/spec + ingredient</w:t>
            </w:r>
          </w:p>
        </w:tc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Specification</w:t>
            </w:r>
          </w:p>
        </w:tc>
        <w:tc>
          <w:tcPr>
            <w:tcW w:type="dxa" w:w="4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Keep IDs and version immutability; ingredient vocabulary moves here</w:t>
            </w:r>
          </w:p>
        </w:tc>
      </w:tr>
      <w:tr>
        <w:trPr>
          <w:cantSplit/>
        </w:trPr>
        <w:tc>
          <w:tcPr>
            <w:tcW w:type="dxa" w:w="32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catalog: product/formula</w:t>
            </w:r>
          </w:p>
        </w:tc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Formulation</w:t>
            </w:r>
          </w:p>
        </w:tc>
        <w:tc>
          <w:tcPr>
            <w:tcW w:type="dxa" w:w="4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Keep formula history and current pointer; consume released-spec projection</w:t>
            </w:r>
          </w:p>
        </w:tc>
      </w:tr>
      <w:tr>
        <w:trPr>
          <w:cantSplit/>
        </w:trPr>
        <w:tc>
          <w:tcPr>
            <w:tcW w:type="dxa" w:w="32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allergen + validation</w:t>
            </w:r>
          </w:p>
        </w:tc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Compliance</w:t>
            </w:r>
          </w:p>
        </w:tc>
        <w:tc>
          <w:tcPr>
            <w:tcW w:type="dxa" w:w="4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LabelSnapshotPort → validation request payload; FormulaCompositionPort → formula projection</w:t>
            </w:r>
          </w:p>
        </w:tc>
      </w:tr>
      <w:tr>
        <w:trPr>
          <w:cantSplit/>
        </w:trPr>
        <w:tc>
          <w:tcPr>
            <w:tcW w:type="dxa" w:w="32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impact (empty) + impact tables</w:t>
            </w:r>
          </w:p>
        </w:tc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Compliance</w:t>
            </w:r>
          </w:p>
        </w:tc>
        <w:tc>
          <w:tcPr>
            <w:tcW w:type="dxa" w:w="4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New two-phase implementation</w:t>
            </w:r>
          </w:p>
        </w:tc>
      </w:tr>
      <w:tr>
        <w:trPr>
          <w:cantSplit/>
        </w:trPr>
        <w:tc>
          <w:tcPr>
            <w:tcW w:type="dxa" w:w="32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label + workflow + label procedures</w:t>
            </w:r>
          </w:p>
        </w:tc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Label Workflow</w:t>
            </w:r>
          </w:p>
        </w:tc>
        <w:tc>
          <w:tcPr>
            <w:tcW w:type="dxa" w:w="4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Re-implement submit/decision/publish as Java local transactions; add REST API and UI</w:t>
            </w:r>
          </w:p>
        </w:tc>
      </w:tr>
      <w:tr>
        <w:trPr>
          <w:cantSplit/>
        </w:trPr>
        <w:tc>
          <w:tcPr>
            <w:tcW w:type="dxa" w:w="32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identity</w:t>
            </w:r>
          </w:p>
        </w:tc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Keycloak + JWT adapter in starter</w:t>
            </w:r>
          </w:p>
        </w:tc>
        <w:tc>
          <w:tcPr>
            <w:tcW w:type="dxa" w:w="4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Legacy headers only in the local/test profile</w:t>
            </w:r>
          </w:p>
        </w:tc>
      </w:tr>
      <w:tr>
        <w:trPr>
          <w:cantSplit/>
        </w:trPr>
        <w:tc>
          <w:tcPr>
            <w:tcW w:type="dxa" w:w="32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audit</w:t>
            </w:r>
          </w:p>
        </w:tc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Local audit per service</w:t>
            </w:r>
          </w:p>
        </w:tc>
        <w:tc>
          <w:tcPr>
            <w:tcW w:type="dxa" w:w="4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Same transaction as state + outbox; central read model is Could</w:t>
            </w:r>
          </w:p>
        </w:tc>
      </w:tr>
      <w:tr>
        <w:trPr>
          <w:cantSplit/>
        </w:trPr>
        <w:tc>
          <w:tcPr>
            <w:tcW w:type="dxa" w:w="32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React UI</w:t>
            </w:r>
          </w:p>
        </w:tc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Reference consumer</w:t>
            </w:r>
          </w:p>
        </w:tc>
        <w:tc>
          <w:tcPr>
            <w:tcW w:type="dxa" w:w="4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Public APIs through the gateway only</w:t>
            </w:r>
          </w:p>
        </w:tc>
      </w:tr>
    </w:tbl>
    <w:p>
      <w:pPr>
        <w:spacing w:before="0" w:after="0" w:line="120" w:lineRule="exact"/>
      </w:pPr>
    </w:p>
    <w:p>
      <w:pPr>
        <w:pStyle w:val="Heading1"/>
      </w:pPr>
      <w:r>
        <w:rPr/>
        <w:t>5. Preserved Business Rules and Intentional Adaptations</w:t>
      </w:r>
    </w:p>
    <w:tbl>
      <w:tblPr>
        <w:tblStyle w:val="TableGrid"/>
        <w:tblW w:w="1010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8800"/>
      </w:tblGrid>
      <w:tr>
        <w:trPr>
          <w:cantSplit/>
          <w:tblHeader/>
        </w:trPr>
        <w:tc>
          <w:tcPr>
            <w:tcW w:type="dxa" w:w="13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Rule</w:t>
            </w:r>
          </w:p>
        </w:tc>
        <w:tc>
          <w:tcPr>
            <w:tcW w:type="dxa" w:w="88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Target contract</w:t>
            </w:r>
          </w:p>
        </w:tc>
      </w:tr>
      <w:tr>
        <w:trPr>
          <w:cantSplit/>
        </w:trPr>
        <w:tc>
          <w:tcPr>
            <w:tcW w:type="dxa" w:w="13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BR-01</w:t>
            </w:r>
          </w:p>
        </w:tc>
        <w:tc>
          <w:tcPr>
            <w:tcW w:type="dxa" w:w="8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Released specifications, formulas and labels are immutable; changes create new versions (enables safe in-memory caching).</w:t>
            </w:r>
          </w:p>
        </w:tc>
      </w:tr>
      <w:tr>
        <w:trPr>
          <w:cantSplit/>
        </w:trPr>
        <w:tc>
          <w:tcPr>
            <w:tcW w:type="dxa" w:w="13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BR-02</w:t>
            </w:r>
          </w:p>
        </w:tc>
        <w:tc>
          <w:tcPr>
            <w:tcW w:type="dxa" w:w="8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Supplier publication never changes a formula; Phase 1 evaluates what would change, only adoption (Phase 2) changes a formula.</w:t>
            </w:r>
          </w:p>
        </w:tc>
      </w:tr>
      <w:tr>
        <w:trPr>
          <w:cantSplit/>
        </w:trPr>
        <w:tc>
          <w:tcPr>
            <w:tcW w:type="dxa" w:w="13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BR-03</w:t>
            </w:r>
          </w:p>
        </w:tc>
        <w:tc>
          <w:tcPr>
            <w:tcW w:type="dxa" w:w="8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Formula allergens = union over resolved components; an unmapped ingredient is UNRESOLVED and forces REVIEW_REQUIRED.</w:t>
            </w:r>
          </w:p>
        </w:tc>
      </w:tr>
      <w:tr>
        <w:trPr>
          <w:cantSplit/>
        </w:trPr>
        <w:tc>
          <w:tcPr>
            <w:tcW w:type="dxa" w:w="13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BR-04</w:t>
            </w:r>
          </w:p>
        </w:tc>
        <w:tc>
          <w:tcPr>
            <w:tcW w:type="dxa" w:w="8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required − declared (current published label) non-empty or UNRESOLVED → REVIEW_REQUIRED, else NO_ACTION; kind POTENTIAL or CONFIRMED; review task only for CONFIRMED + REVIEW_REQUIRED.</w:t>
            </w:r>
          </w:p>
        </w:tc>
      </w:tr>
      <w:tr>
        <w:trPr>
          <w:cantSplit/>
        </w:trPr>
        <w:tc>
          <w:tcPr>
            <w:tcW w:type="dxa" w:w="13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BR-05</w:t>
            </w:r>
          </w:p>
        </w:tc>
        <w:tc>
          <w:tcPr>
            <w:tcW w:type="dxa" w:w="8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DRAFT → PENDING_REVIEW requires an exact-version PASSED validation without blocking ERROR, read from Label Workflow's local validation record.</w:t>
            </w:r>
          </w:p>
        </w:tc>
      </w:tr>
      <w:tr>
        <w:trPr>
          <w:cantSplit/>
        </w:trPr>
        <w:tc>
          <w:tcPr>
            <w:tcW w:type="dxa" w:w="13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BR-06</w:t>
            </w:r>
          </w:p>
        </w:tc>
        <w:tc>
          <w:tcPr>
            <w:tcW w:type="dxa" w:w="8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Maker-checker: JWT subject must differ from created_by_subject.</w:t>
            </w:r>
          </w:p>
        </w:tc>
      </w:tr>
      <w:tr>
        <w:trPr>
          <w:cantSplit/>
        </w:trPr>
        <w:tc>
          <w:tcPr>
            <w:tcW w:type="dxa" w:w="13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BR-07</w:t>
            </w:r>
          </w:p>
        </w:tc>
        <w:tc>
          <w:tcPr>
            <w:tcW w:type="dxa" w:w="8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Roles are required in addition to authentication.</w:t>
            </w:r>
          </w:p>
        </w:tc>
      </w:tr>
      <w:tr>
        <w:trPr>
          <w:cantSplit/>
        </w:trPr>
        <w:tc>
          <w:tcPr>
            <w:tcW w:type="dxa" w:w="13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BR-08</w:t>
            </w:r>
          </w:p>
        </w:tc>
        <w:tc>
          <w:tcPr>
            <w:tcW w:type="dxa" w:w="8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Publication is atomic inside Label Workflow; product.current_published_label_version_id is retired; no Saga.</w:t>
            </w:r>
          </w:p>
        </w:tc>
      </w:tr>
      <w:tr>
        <w:trPr>
          <w:cantSplit/>
        </w:trPr>
        <w:tc>
          <w:tcPr>
            <w:tcW w:type="dxa" w:w="13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BR-09</w:t>
            </w:r>
          </w:p>
        </w:tc>
        <w:tc>
          <w:tcPr>
            <w:tcW w:type="dxa" w:w="8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Request-changes/reject keep decision history; REJECTED cannot be published.</w:t>
            </w:r>
          </w:p>
        </w:tc>
      </w:tr>
      <w:tr>
        <w:trPr>
          <w:cantSplit/>
        </w:trPr>
        <w:tc>
          <w:tcPr>
            <w:tcW w:type="dxa" w:w="13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BR-10</w:t>
            </w:r>
          </w:p>
        </w:tc>
        <w:tc>
          <w:tcPr>
            <w:tcW w:type="dxa" w:w="8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Business state + local audit + outbox commit or roll back together.</w:t>
            </w:r>
          </w:p>
        </w:tc>
      </w:tr>
      <w:tr>
        <w:trPr>
          <w:cantSplit/>
        </w:trPr>
        <w:tc>
          <w:tcPr>
            <w:tcW w:type="dxa" w:w="13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BR-11 (new)</w:t>
            </w:r>
          </w:p>
        </w:tc>
        <w:tc>
          <w:tcPr>
            <w:tcW w:type="dxa" w:w="8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Organisation ownership: suppliers change only their own materials; released specs readable by all manufacturers; formulas, labels and findings visible only to the owning manufacturer.</w:t>
            </w:r>
          </w:p>
        </w:tc>
      </w:tr>
    </w:tbl>
    <w:p>
      <w:pPr>
        <w:spacing w:before="0" w:after="0" w:line="120" w:lineRule="exact"/>
      </w:pPr>
    </w:p>
    <w:p>
      <w:pPr>
        <w:pStyle w:val="Heading1"/>
      </w:pPr>
      <w:r>
        <w:rPr/>
        <w:t>6. Integration and Data Architecture</w:t>
      </w:r>
    </w:p>
    <w:p>
      <w:pPr>
        <w:pStyle w:val="ListBullet"/>
        <w:spacing w:after="22"/>
        <w:ind w:left="255" w:hanging="102"/>
      </w:pPr>
      <w:r>
        <w:rPr>
          <w:b/>
          <w:i w:val="0"/>
        </w:rPr>
        <w:t xml:space="preserve">North-south:</w:t>
      </w:r>
      <w:r>
        <w:rPr>
          <w:b w:val="0"/>
          <w:i w:val="0"/>
        </w:rPr>
        <w:t xml:space="preserve"> DO Load Balancer (TLS) → Spring Cloud Gateway: /api/specifications, /api/formulations, /api/compliance, /api/labels, /api/notifications (Should), /auth → Keycloak. JWT validation, rate and payload limits, CORS, correlation IDs.</w:t>
      </w:r>
    </w:p>
    <w:p>
      <w:pPr>
        <w:pStyle w:val="ListBullet"/>
        <w:spacing w:after="22"/>
        <w:ind w:left="255" w:hanging="102"/>
      </w:pPr>
      <w:r>
        <w:rPr>
          <w:b/>
          <w:i w:val="0"/>
        </w:rPr>
        <w:t xml:space="preserve">One synchronous call:</w:t>
      </w:r>
      <w:r>
        <w:rPr>
          <w:b w:val="0"/>
          <w:i w:val="0"/>
        </w:rPr>
        <w:t xml:space="preserve"> Label Workflow → Compliance /internal/validations with the draft snapshot and an idempotency key; 2 s timeout, circuit breaker, at most one retry, fail closed; result stored in label_validation_record; NetworkPolicy allows only this path.</w:t>
      </w:r>
    </w:p>
    <w:p>
      <w:pPr>
        <w:pStyle w:val="ListBullet"/>
        <w:spacing w:after="22"/>
        <w:ind w:left="255" w:hanging="102"/>
      </w:pPr>
      <w:r>
        <w:rPr>
          <w:b/>
          <w:i w:val="0"/>
        </w:rPr>
        <w:t xml:space="preserve">Events:</w:t>
      </w:r>
      <w:r>
        <w:rPr>
          <w:b w:val="0"/>
          <w:i w:val="0"/>
        </w:rPr>
        <w:t xml:space="preserve"> versioned JSON Schema envelope with eventId, organisationId, correlationId, aggregateId/version. Outbox relay publishes with publisher confirms to topic exchange spectrace.events; each consumer owns a quorum queue with delivery limit 5 and a DLQ; consumers deduplicate by eventId and drop stale aggregate versions.</w:t>
      </w:r>
    </w:p>
    <w:p>
      <w:pPr>
        <w:pStyle w:val="ListBullet"/>
        <w:spacing w:after="22"/>
        <w:ind w:left="255" w:hanging="102"/>
      </w:pPr>
      <w:r>
        <w:rPr>
          <w:b/>
          <w:i w:val="0"/>
        </w:rPr>
        <w:t xml:space="preserve">Data:</w:t>
      </w:r>
      <w:r>
        <w:rPr>
          <w:b w:val="0"/>
          <w:i w:val="0"/>
        </w:rPr>
        <w:t xml:space="preserve"> one DigitalOcean Managed MySQL cluster (primary + standby) with a database and user per service (plus keycloak); grants restricted to the own database; cross-context FKs replaced by IDs + projections; users become OIDC subjects; provenance is service-local.</w:t>
      </w:r>
    </w:p>
    <w:tbl>
      <w:tblPr>
        <w:tblStyle w:val="TableGrid"/>
        <w:tblW w:w="1010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700"/>
        <w:gridCol w:w="2700"/>
        <w:gridCol w:w="3200"/>
      </w:tblGrid>
      <w:tr>
        <w:trPr>
          <w:cantSplit/>
          <w:tblHeader/>
        </w:trPr>
        <w:tc>
          <w:tcPr>
            <w:tcW w:type="dxa" w:w="25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4"/>
              </w:rPr>
              <w:t xml:space="preserve">Event</w:t>
            </w:r>
          </w:p>
        </w:tc>
        <w:tc>
          <w:tcPr>
            <w:tcW w:type="dxa" w:w="17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4"/>
              </w:rPr>
              <w:t xml:space="preserve">Producer</w:t>
            </w:r>
          </w:p>
        </w:tc>
        <w:tc>
          <w:tcPr>
            <w:tcW w:type="dxa" w:w="27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4"/>
              </w:rPr>
              <w:t xml:space="preserve">Consumers</w:t>
            </w:r>
          </w:p>
        </w:tc>
        <w:tc>
          <w:tcPr>
            <w:tcW w:type="dxa" w:w="32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4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5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4"/>
              </w:rPr>
              <w:t xml:space="preserve">SpecificationPublished.v1</w:t>
            </w:r>
          </w:p>
        </w:tc>
        <w:tc>
          <w:tcPr>
            <w:tcW w:type="dxa" w:w="17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4"/>
              </w:rPr>
              <w:t xml:space="preserve">Specification</w:t>
            </w:r>
          </w:p>
        </w:tc>
        <w:tc>
          <w:tcPr>
            <w:tcW w:type="dxa" w:w="27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4"/>
              </w:rPr>
              <w:t xml:space="preserve">Formulation, Compliance, Notification*</w:t>
            </w:r>
          </w:p>
        </w:tc>
        <w:tc>
          <w:tcPr>
            <w:tcW w:type="dxa" w:w="32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4"/>
              </w:rPr>
              <w:t xml:space="preserve">Released spec + components + provenance; Phase 1 trigger</w:t>
            </w:r>
          </w:p>
        </w:tc>
      </w:tr>
      <w:tr>
        <w:trPr>
          <w:cantSplit/>
        </w:trPr>
        <w:tc>
          <w:tcPr>
            <w:tcW w:type="dxa" w:w="25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4"/>
              </w:rPr>
              <w:t xml:space="preserve">FormulaPublished.v1</w:t>
            </w:r>
          </w:p>
        </w:tc>
        <w:tc>
          <w:tcPr>
            <w:tcW w:type="dxa" w:w="17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4"/>
              </w:rPr>
              <w:t xml:space="preserve">Formulation</w:t>
            </w:r>
          </w:p>
        </w:tc>
        <w:tc>
          <w:tcPr>
            <w:tcW w:type="dxa" w:w="27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4"/>
              </w:rPr>
              <w:t xml:space="preserve">Compliance, Label Workflow</w:t>
            </w:r>
          </w:p>
        </w:tc>
        <w:tc>
          <w:tcPr>
            <w:tcW w:type="dxa" w:w="32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4"/>
              </w:rPr>
              <w:t xml:space="preserve">Released/current formula projection; Phase 2 trigger</w:t>
            </w:r>
          </w:p>
        </w:tc>
      </w:tr>
      <w:tr>
        <w:trPr>
          <w:cantSplit/>
        </w:trPr>
        <w:tc>
          <w:tcPr>
            <w:tcW w:type="dxa" w:w="25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4"/>
              </w:rPr>
              <w:t xml:space="preserve">ImpactFinding.v1</w:t>
            </w:r>
          </w:p>
        </w:tc>
        <w:tc>
          <w:tcPr>
            <w:tcW w:type="dxa" w:w="17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4"/>
              </w:rPr>
              <w:t xml:space="preserve">Compliance</w:t>
            </w:r>
          </w:p>
        </w:tc>
        <w:tc>
          <w:tcPr>
            <w:tcW w:type="dxa" w:w="27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4"/>
              </w:rPr>
              <w:t xml:space="preserve">Label Workflow, Notification*</w:t>
            </w:r>
          </w:p>
        </w:tc>
        <w:tc>
          <w:tcPr>
            <w:tcW w:type="dxa" w:w="32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4"/>
              </w:rPr>
              <w:t xml:space="preserve">POTENTIAL/CONFIRMED, NO_ACTION/REVIEW_REQUIRED with evidence</w:t>
            </w:r>
          </w:p>
        </w:tc>
      </w:tr>
      <w:tr>
        <w:trPr>
          <w:cantSplit/>
        </w:trPr>
        <w:tc>
          <w:tcPr>
            <w:tcW w:type="dxa" w:w="25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4"/>
              </w:rPr>
              <w:t xml:space="preserve">LabelPublished.v1</w:t>
            </w:r>
          </w:p>
        </w:tc>
        <w:tc>
          <w:tcPr>
            <w:tcW w:type="dxa" w:w="17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4"/>
              </w:rPr>
              <w:t xml:space="preserve">Label Workflow</w:t>
            </w:r>
          </w:p>
        </w:tc>
        <w:tc>
          <w:tcPr>
            <w:tcW w:type="dxa" w:w="27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4"/>
              </w:rPr>
              <w:t xml:space="preserve">Compliance</w:t>
            </w:r>
          </w:p>
        </w:tc>
        <w:tc>
          <w:tcPr>
            <w:tcW w:type="dxa" w:w="32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4"/>
              </w:rPr>
              <w:t xml:space="preserve">Current published declarations projection</w:t>
            </w:r>
          </w:p>
        </w:tc>
      </w:tr>
    </w:tbl>
    <w:p>
      <w:pPr>
        <w:spacing w:before="0" w:after="0" w:line="120" w:lineRule="exact"/>
      </w:pPr>
    </w:p>
    <w:p>
      <w:pPr>
        <w:keepLines w:val="0"/>
        <w:widowControl/>
        <w:spacing w:after="40"/>
      </w:pPr>
      <w:r>
        <w:rPr>
          <w:b w:val="0"/>
          <w:i w:val="0"/>
        </w:rPr>
        <w:t xml:space="preserve">* Notification is a Should item. AuditRecorded.v1 and a central audit read model are Could items.</w:t>
      </w:r>
    </w:p>
    <w:p>
      <w:pPr>
        <w:pStyle w:val="Heading1"/>
      </w:pPr>
      <w:r>
        <w:rPr/>
        <w:t>7. Cloud-Native Physical Architecture (DigitalOcean)</w:t>
      </w:r>
    </w:p>
    <w:p>
      <w:pPr>
        <w:keepLines w:val="0"/>
        <w:widowControl/>
        <w:spacing w:after="40"/>
      </w:pPr>
      <w:r>
        <w:rPr>
          <w:b w:val="0"/>
          <w:i w:val="0"/>
        </w:rPr>
        <w:t xml:space="preserve">DigitalOcean is chosen for cost: about half the monthly cost of an equivalent AWS set-up and covered by the GitHub Student Developer Pack credit for eligible accounts. Managed services are used where cheap (DOKS, Managed MySQL, Load Balancer, Container Registry, App Platform); the gateway, identity provider and broker run in-cluster as open-source components under operators, which keeps the stack identical to local Docker Compose.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2584323"/>
            <wp:docPr id="2" name="Fig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8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i/>
          <w:sz w:val="16"/>
        </w:rPr>
        <w:t xml:space="preserve">Figure 2. DigitalOcean staging topology (SGP1).</w:t>
      </w:r>
    </w:p>
    <w:tbl>
      <w:tblPr>
        <w:tblStyle w:val="TableGrid"/>
        <w:tblW w:w="1010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5300"/>
        <w:gridCol w:w="3000"/>
      </w:tblGrid>
      <w:tr>
        <w:trPr>
          <w:cantSplit/>
          <w:tblHeader/>
        </w:trPr>
        <w:tc>
          <w:tcPr>
            <w:tcW w:type="dxa" w:w="18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4"/>
              </w:rPr>
              <w:t xml:space="preserve">Capability</w:t>
            </w:r>
          </w:p>
        </w:tc>
        <w:tc>
          <w:tcPr>
            <w:tcW w:type="dxa" w:w="53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4"/>
              </w:rPr>
              <w:t xml:space="preserve">Component</w:t>
            </w:r>
          </w:p>
        </w:tc>
        <w:tc>
          <w:tcPr>
            <w:tcW w:type="dxa" w:w="30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4"/>
              </w:rPr>
              <w:t xml:space="preserve">Staging sizing</w:t>
            </w:r>
          </w:p>
        </w:tc>
      </w:tr>
      <w:tr>
        <w:trPr>
          <w:cantSplit/>
        </w:trPr>
        <w:tc>
          <w:tcPr>
            <w:tcW w:type="dxa" w:w="1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4"/>
              </w:rPr>
              <w:t xml:space="preserve">Edge</w:t>
            </w:r>
          </w:p>
        </w:tc>
        <w:tc>
          <w:tcPr>
            <w:tcW w:type="dxa" w:w="53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4"/>
              </w:rPr>
              <w:t xml:space="preserve">DO Load Balancer, TLS via Let's Encrypt (team domain on DO DNS)</w:t>
            </w:r>
          </w:p>
        </w:tc>
        <w:tc>
          <w:tcPr>
            <w:tcW w:type="dxa" w:w="3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4"/>
              </w:rPr>
              <w:t xml:space="preserve">1 small LB</w:t>
            </w:r>
          </w:p>
        </w:tc>
      </w:tr>
      <w:tr>
        <w:trPr>
          <w:cantSplit/>
        </w:trPr>
        <w:tc>
          <w:tcPr>
            <w:tcW w:type="dxa" w:w="1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4"/>
              </w:rPr>
              <w:t xml:space="preserve">API gateway</w:t>
            </w:r>
          </w:p>
        </w:tc>
        <w:tc>
          <w:tcPr>
            <w:tcW w:type="dxa" w:w="53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4"/>
              </w:rPr>
              <w:t xml:space="preserve">Spring Cloud Gateway</w:t>
            </w:r>
          </w:p>
        </w:tc>
        <w:tc>
          <w:tcPr>
            <w:tcW w:type="dxa" w:w="3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4"/>
              </w:rPr>
              <w:t xml:space="preserve">2 replicas</w:t>
            </w:r>
          </w:p>
        </w:tc>
      </w:tr>
      <w:tr>
        <w:trPr>
          <w:cantSplit/>
        </w:trPr>
        <w:tc>
          <w:tcPr>
            <w:tcW w:type="dxa" w:w="1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4"/>
              </w:rPr>
              <w:t xml:space="preserve">Compute</w:t>
            </w:r>
          </w:p>
        </w:tc>
        <w:tc>
          <w:tcPr>
            <w:tcW w:type="dxa" w:w="53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4"/>
              </w:rPr>
              <w:t xml:space="preserve">DOKS (managed control plane)</w:t>
            </w:r>
          </w:p>
        </w:tc>
        <w:tc>
          <w:tcPr>
            <w:tcW w:type="dxa" w:w="3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4"/>
              </w:rPr>
              <w:t xml:space="preserve">general: 3 × 2 vCPU/4 GB; compliance: dedicated-CPU c-2, 1–4 nodes</w:t>
            </w:r>
          </w:p>
        </w:tc>
      </w:tr>
      <w:tr>
        <w:trPr>
          <w:cantSplit/>
        </w:trPr>
        <w:tc>
          <w:tcPr>
            <w:tcW w:type="dxa" w:w="1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4"/>
              </w:rPr>
              <w:t xml:space="preserve">Database</w:t>
            </w:r>
          </w:p>
        </w:tc>
        <w:tc>
          <w:tcPr>
            <w:tcW w:type="dxa" w:w="53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4"/>
              </w:rPr>
              <w:t xml:space="preserve">DigitalOcean Managed MySQL 8</w:t>
            </w:r>
          </w:p>
        </w:tc>
        <w:tc>
          <w:tcPr>
            <w:tcW w:type="dxa" w:w="3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4"/>
              </w:rPr>
              <w:t xml:space="preserve">1 vCPU/2 GB + standby node</w:t>
            </w:r>
          </w:p>
        </w:tc>
      </w:tr>
      <w:tr>
        <w:trPr>
          <w:cantSplit/>
        </w:trPr>
        <w:tc>
          <w:tcPr>
            <w:tcW w:type="dxa" w:w="1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4"/>
              </w:rPr>
              <w:t xml:space="preserve">Messaging</w:t>
            </w:r>
          </w:p>
        </w:tc>
        <w:tc>
          <w:tcPr>
            <w:tcW w:type="dxa" w:w="53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4"/>
              </w:rPr>
              <w:t xml:space="preserve">RabbitMQ (Cluster + Messaging Topology Operators)</w:t>
            </w:r>
          </w:p>
        </w:tc>
        <w:tc>
          <w:tcPr>
            <w:tcW w:type="dxa" w:w="3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4"/>
              </w:rPr>
              <w:t xml:space="preserve">3 nodes, quorum queues</w:t>
            </w:r>
          </w:p>
        </w:tc>
      </w:tr>
      <w:tr>
        <w:trPr>
          <w:cantSplit/>
        </w:trPr>
        <w:tc>
          <w:tcPr>
            <w:tcW w:type="dxa" w:w="1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4"/>
              </w:rPr>
              <w:t xml:space="preserve">Identity</w:t>
            </w:r>
          </w:p>
        </w:tc>
        <w:tc>
          <w:tcPr>
            <w:tcW w:type="dxa" w:w="53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4"/>
              </w:rPr>
              <w:t xml:space="preserve">Keycloak (Keycloak Operator), data in Managed MySQL</w:t>
            </w:r>
          </w:p>
        </w:tc>
        <w:tc>
          <w:tcPr>
            <w:tcW w:type="dxa" w:w="3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4"/>
              </w:rPr>
              <w:t xml:space="preserve">1 replica</w:t>
            </w:r>
          </w:p>
        </w:tc>
      </w:tr>
      <w:tr>
        <w:trPr>
          <w:cantSplit/>
        </w:trPr>
        <w:tc>
          <w:tcPr>
            <w:tcW w:type="dxa" w:w="1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4"/>
              </w:rPr>
              <w:t xml:space="preserve">Secrets</w:t>
            </w:r>
          </w:p>
        </w:tc>
        <w:tc>
          <w:tcPr>
            <w:tcW w:type="dxa" w:w="53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4"/>
              </w:rPr>
              <w:t xml:space="preserve">Kubernetes Secrets injected by the pipeline from GitHub environment secrets</w:t>
            </w:r>
          </w:p>
        </w:tc>
        <w:tc>
          <w:tcPr>
            <w:tcW w:type="dxa" w:w="3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4"/>
              </w:rPr>
              <w:t xml:space="preserve">never in Git</w:t>
            </w:r>
          </w:p>
        </w:tc>
      </w:tr>
      <w:tr>
        <w:trPr>
          <w:cantSplit/>
        </w:trPr>
        <w:tc>
          <w:tcPr>
            <w:tcW w:type="dxa" w:w="1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4"/>
              </w:rPr>
              <w:t xml:space="preserve">Registry / front end</w:t>
            </w:r>
          </w:p>
        </w:tc>
        <w:tc>
          <w:tcPr>
            <w:tcW w:type="dxa" w:w="53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4"/>
              </w:rPr>
              <w:t xml:space="preserve">DO Container Registry; App Platform static site</w:t>
            </w:r>
          </w:p>
        </w:tc>
        <w:tc>
          <w:tcPr>
            <w:tcW w:type="dxa" w:w="3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4"/>
              </w:rPr>
              <w:t xml:space="preserve">Basic; free tier</w:t>
            </w:r>
          </w:p>
        </w:tc>
      </w:tr>
      <w:tr>
        <w:trPr>
          <w:cantSplit/>
        </w:trPr>
        <w:tc>
          <w:tcPr>
            <w:tcW w:type="dxa" w:w="1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4"/>
              </w:rPr>
              <w:t xml:space="preserve">Observability</w:t>
            </w:r>
          </w:p>
        </w:tc>
        <w:tc>
          <w:tcPr>
            <w:tcW w:type="dxa" w:w="53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4"/>
              </w:rPr>
              <w:t xml:space="preserve">Grafana Alloy → Grafana Cloud free tier (metrics, logs; traces Should)</w:t>
            </w:r>
          </w:p>
        </w:tc>
        <w:tc>
          <w:tcPr>
            <w:tcW w:type="dxa" w:w="3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4"/>
              </w:rPr>
              <w:t xml:space="preserve">14-day retention</w:t>
            </w:r>
          </w:p>
        </w:tc>
      </w:tr>
      <w:tr>
        <w:trPr>
          <w:cantSplit/>
        </w:trPr>
        <w:tc>
          <w:tcPr>
            <w:tcW w:type="dxa" w:w="1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4"/>
              </w:rPr>
              <w:t xml:space="preserve">IaC / delivery</w:t>
            </w:r>
          </w:p>
        </w:tc>
        <w:tc>
          <w:tcPr>
            <w:tcW w:type="dxa" w:w="53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4"/>
              </w:rPr>
              <w:t xml:space="preserve">Terraform + Helm; state in Spaces; GitHub Actions with scoped API token</w:t>
            </w:r>
          </w:p>
        </w:tc>
        <w:tc>
          <w:tcPr>
            <w:tcW w:type="dxa" w:w="3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4"/>
              </w:rPr>
              <w:t xml:space="preserve">—</w:t>
            </w:r>
          </w:p>
        </w:tc>
      </w:tr>
    </w:tbl>
    <w:p>
      <w:pPr>
        <w:spacing w:before="0" w:after="0" w:line="120" w:lineRule="exact"/>
      </w:pPr>
    </w:p>
    <w:p>
      <w:pPr>
        <w:keepLines w:val="0"/>
        <w:widowControl/>
        <w:spacing w:after="40"/>
      </w:pPr>
      <w:r>
        <w:rPr>
          <w:b w:val="0"/>
          <w:i w:val="0"/>
        </w:rPr>
        <w:t xml:space="preserve">Estimated cost at list prices: ≈ USD 200 per month (≈ 6–7 per day); staging runs from Gate 1 to the presentation freeze, so the expected total is ≈ USD 150. Limitation: DigitalOcean regions have no availability zones.</w:t>
      </w:r>
    </w:p>
    <w:p>
      <w:pPr>
        <w:pStyle w:val="Heading1"/>
      </w:pPr>
      <w:r>
        <w:rPr/>
        <w:t>8. Scalability, Availability and Capacity Evidence</w:t>
      </w:r>
    </w:p>
    <w:tbl>
      <w:tblPr>
        <w:tblStyle w:val="TableGrid"/>
        <w:tblW w:w="1010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3400"/>
        <w:gridCol w:w="4500"/>
      </w:tblGrid>
      <w:tr>
        <w:trPr>
          <w:cantSplit/>
          <w:tblHeader/>
        </w:trPr>
        <w:tc>
          <w:tcPr>
            <w:tcW w:type="dxa" w:w="22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Run</w:t>
            </w:r>
          </w:p>
        </w:tc>
        <w:tc>
          <w:tcPr>
            <w:tcW w:type="dxa" w:w="34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Load</w:t>
            </w:r>
          </w:p>
        </w:tc>
        <w:tc>
          <w:tcPr>
            <w:tcW w:type="dxa" w:w="45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Evidence</w:t>
            </w:r>
          </w:p>
        </w:tc>
      </w:tr>
      <w:tr>
        <w:trPr>
          <w:cantSplit/>
        </w:trPr>
        <w:tc>
          <w:tcPr>
            <w:tcW w:type="dxa" w:w="22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Fixed 1 replica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open arrival-rate steps until SLO breaks</w:t>
            </w:r>
          </w:p>
        </w:tc>
        <w:tc>
          <w:tcPr>
            <w:tcW w:type="dxa" w:w="45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max sustainable rate, p50/p95, errors, CPU/memory, MySQL CPU/connections</w:t>
            </w:r>
          </w:p>
        </w:tc>
      </w:tr>
      <w:tr>
        <w:trPr>
          <w:cantSplit/>
        </w:trPr>
        <w:tc>
          <w:tcPr>
            <w:tcW w:type="dxa" w:w="22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Fixed 3 replicas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same</w:t>
            </w:r>
          </w:p>
        </w:tc>
        <w:tc>
          <w:tcPr>
            <w:tcW w:type="dxa" w:w="45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same + scaling efficiency (target ≥ 2×)</w:t>
            </w:r>
          </w:p>
        </w:tc>
      </w:tr>
      <w:tr>
        <w:trPr>
          <w:cantSplit/>
        </w:trPr>
        <w:tc>
          <w:tcPr>
            <w:tcW w:type="dxa" w:w="22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Autoscale (Should)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step to a rate 1 replica cannot sustain</w:t>
            </w:r>
          </w:p>
        </w:tc>
        <w:tc>
          <w:tcPr>
            <w:tcW w:type="dxa" w:w="45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replica/node timeline; SLO restored within 5 min</w:t>
            </w:r>
          </w:p>
        </w:tc>
      </w:tr>
      <w:tr>
        <w:trPr>
          <w:cantSplit/>
        </w:trPr>
        <w:tc>
          <w:tcPr>
            <w:tcW w:type="dxa" w:w="22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Failover</w:t>
            </w:r>
          </w:p>
        </w:tc>
        <w:tc>
          <w:tcPr>
            <w:tcW w:type="dxa" w:w="34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~50% of 3-replica capacity; delete one pod</w:t>
            </w:r>
          </w:p>
        </w:tc>
        <w:tc>
          <w:tcPr>
            <w:tcW w:type="dxa" w:w="45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errors &lt; 1%, no window &gt; 10 s, p95 back &lt; 60 s, replacement &lt; 3 min</w:t>
            </w:r>
          </w:p>
        </w:tc>
      </w:tr>
    </w:tbl>
    <w:p>
      <w:pPr>
        <w:spacing w:before="0" w:after="0" w:line="120" w:lineRule="exact"/>
      </w:pPr>
    </w:p>
    <w:p>
      <w:pPr>
        <w:pStyle w:val="ListBullet"/>
        <w:spacing w:after="22"/>
        <w:ind w:left="255" w:hanging="102"/>
      </w:pPr>
      <w:r>
        <w:rPr>
          <w:b w:val="0"/>
          <w:i w:val="0"/>
        </w:rPr>
        <w:t xml:space="preserve">Workload: impact-preview API over local projections and in-memory immutable versions; validation writes measured separately; dataset ≈ 5,000 formula versions across 20 manufacturers.</w:t>
      </w:r>
    </w:p>
    <w:p>
      <w:pPr>
        <w:pStyle w:val="ListBullet"/>
        <w:spacing w:after="22"/>
        <w:ind w:left="255" w:hanging="102"/>
      </w:pPr>
      <w:r>
        <w:rPr>
          <w:b w:val="0"/>
          <w:i w:val="0"/>
        </w:rPr>
        <w:t xml:space="preserve">Replicas limited to 1 vCPU/2 GiB on the dedicated-CPU pool; k6 runs from a separate droplet in SGP1.</w:t>
      </w:r>
    </w:p>
    <w:p>
      <w:pPr>
        <w:pStyle w:val="ListBullet"/>
        <w:spacing w:after="22"/>
        <w:ind w:left="255" w:hanging="102"/>
      </w:pPr>
      <w:r>
        <w:rPr>
          <w:b w:val="0"/>
          <w:i w:val="0"/>
        </w:rPr>
        <w:t xml:space="preserve">Targets are pre-declared and never relaxed; misses are reported with the bottleneck location.</w:t>
      </w:r>
    </w:p>
    <w:p>
      <w:pPr>
        <w:pStyle w:val="ListBullet"/>
        <w:spacing w:after="22"/>
        <w:ind w:left="255" w:hanging="102"/>
      </w:pPr>
      <w:r>
        <w:rPr>
          <w:b w:val="0"/>
          <w:i w:val="0"/>
        </w:rPr>
        <w:t xml:space="preserve">Tactics: readiness probes, spread across nodes, load balancing, MySQL standby failover, RabbitMQ quorum queues + DLQ, timeouts, circuit breaker, bounded replicas and connection pools.</w:t>
      </w:r>
    </w:p>
    <w:p>
      <w:pPr>
        <w:pStyle w:val="Heading1"/>
      </w:pPr>
      <w:r>
        <w:rPr/>
        <w:t>9. Security Architecture</w:t>
      </w:r>
    </w:p>
    <w:tbl>
      <w:tblPr>
        <w:tblStyle w:val="TableGrid"/>
        <w:tblW w:w="1010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7300"/>
      </w:tblGrid>
      <w:tr>
        <w:trPr>
          <w:cantSplit/>
          <w:tblHeader/>
        </w:trPr>
        <w:tc>
          <w:tcPr>
            <w:tcW w:type="dxa" w:w="28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Threat</w:t>
            </w:r>
          </w:p>
        </w:tc>
        <w:tc>
          <w:tcPr>
            <w:tcW w:type="dxa" w:w="73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Minimum control</w:t>
            </w:r>
          </w:p>
        </w:tc>
      </w:tr>
      <w:tr>
        <w:trPr>
          <w:cantSplit/>
        </w:trPr>
        <w:tc>
          <w:tcPr>
            <w:tcW w:type="dxa" w:w="2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Unauthorised producer change</w:t>
            </w:r>
          </w:p>
        </w:tc>
        <w:tc>
          <w:tcPr>
            <w:tcW w:type="dxa" w:w="73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Supplier role + organisation ownership + audit</w:t>
            </w:r>
          </w:p>
        </w:tc>
      </w:tr>
      <w:tr>
        <w:trPr>
          <w:cantSplit/>
        </w:trPr>
        <w:tc>
          <w:tcPr>
            <w:tcW w:type="dxa" w:w="2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Cross-manufacturer data leak</w:t>
            </w:r>
          </w:p>
        </w:tc>
        <w:tc>
          <w:tcPr>
            <w:tcW w:type="dxa" w:w="73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Organisation checks on every read API; no shared DB access</w:t>
            </w:r>
          </w:p>
        </w:tc>
      </w:tr>
      <w:tr>
        <w:trPr>
          <w:cantSplit/>
        </w:trPr>
        <w:tc>
          <w:tcPr>
            <w:tcW w:type="dxa" w:w="2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Forged/duplicate events</w:t>
            </w:r>
          </w:p>
        </w:tc>
        <w:tc>
          <w:tcPr>
            <w:tcW w:type="dxa" w:w="73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Per-service RabbitMQ users and permissions; eventId + aggregate version; idempotent consumers</w:t>
            </w:r>
          </w:p>
        </w:tc>
      </w:tr>
      <w:tr>
        <w:trPr>
          <w:cantSplit/>
        </w:trPr>
        <w:tc>
          <w:tcPr>
            <w:tcW w:type="dxa" w:w="2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Gateway bypass</w:t>
            </w:r>
          </w:p>
        </w:tc>
        <w:tc>
          <w:tcPr>
            <w:tcW w:type="dxa" w:w="73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ClusterIP services; default-deny NetworkPolicy; only gateway and label-workflow → compliance allowed</w:t>
            </w:r>
          </w:p>
        </w:tc>
      </w:tr>
      <w:tr>
        <w:trPr>
          <w:cantSplit/>
        </w:trPr>
        <w:tc>
          <w:tcPr>
            <w:tcW w:type="dxa" w:w="2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Secret leakage</w:t>
            </w:r>
          </w:p>
        </w:tc>
        <w:tc>
          <w:tcPr>
            <w:tcW w:type="dxa" w:w="73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No secrets in Git; pipeline-injected Kubernetes Secrets; secret scanning; scoped, expiring tokens</w:t>
            </w:r>
          </w:p>
        </w:tc>
      </w:tr>
      <w:tr>
        <w:trPr>
          <w:cantSplit/>
        </w:trPr>
        <w:tc>
          <w:tcPr>
            <w:tcW w:type="dxa" w:w="28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Overload/abuse</w:t>
            </w:r>
          </w:p>
        </w:tc>
        <w:tc>
          <w:tcPr>
            <w:tcW w:type="dxa" w:w="73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Gateway rate and payload limits; bounded replicas</w:t>
            </w:r>
          </w:p>
        </w:tc>
      </w:tr>
    </w:tbl>
    <w:p>
      <w:pPr>
        <w:spacing w:before="0" w:after="0" w:line="120" w:lineRule="exact"/>
      </w:pPr>
    </w:p>
    <w:p>
      <w:pPr>
        <w:keepLines w:val="0"/>
        <w:widowControl/>
        <w:spacing w:after="40"/>
      </w:pPr>
      <w:r>
        <w:rPr>
          <w:b w:val="0"/>
          <w:i w:val="0"/>
        </w:rPr>
        <w:t xml:space="preserve">Keycloak issues tokens with org_id, org_type and roles (React client: authorisation code + PKCE). The legacy X-Auth-Provider / X-External-Subject seam is enabled only in the local/test profile.</w:t>
      </w:r>
    </w:p>
    <w:p>
      <w:pPr>
        <w:pStyle w:val="Heading1"/>
      </w:pPr>
      <w:r>
        <w:rPr/>
        <w:t>10. Platform Engineering and Golden Path</w:t>
      </w:r>
    </w:p>
    <w:tbl>
      <w:tblPr>
        <w:tblStyle w:val="TableGrid"/>
        <w:tblW w:w="1010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8000"/>
      </w:tblGrid>
      <w:tr>
        <w:trPr>
          <w:cantSplit/>
          <w:tblHeader/>
        </w:trPr>
        <w:tc>
          <w:tcPr>
            <w:tcW w:type="dxa" w:w="21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Plane</w:t>
            </w:r>
          </w:p>
        </w:tc>
        <w:tc>
          <w:tcPr>
            <w:tcW w:type="dxa" w:w="80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SpecTrace-CN implementation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Developer Control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Service starter, repository template, Helm chart template, docs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Integration &amp; Delivery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Reusable GitHub Actions workflow, test/scan gates, DO Container Registry, Helm deploy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Resource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DOKS, Managed MySQL, RabbitMQ, Keycloak, Load Balancer via Terraform and operators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Observability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Grafana Alloy, Grafana Cloud dashboards for SLO, scaling and failover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Security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Keycloak, RBAC/organisation checks, NetworkPolicies, secret injection, scanners</w:t>
            </w:r>
          </w:p>
        </w:tc>
      </w:tr>
    </w:tbl>
    <w:p>
      <w:pPr>
        <w:spacing w:before="0" w:after="0" w:line="120" w:lineRule="exact"/>
      </w:pPr>
    </w:p>
    <w:p>
      <w:pPr>
        <w:keepLines w:val="0"/>
        <w:widowControl/>
        <w:spacing w:after="40"/>
      </w:pPr>
      <w:r>
        <w:rPr>
          <w:b w:val="0"/>
          <w:i w:val="0"/>
        </w:rPr>
        <w:t xml:space="preserve">Golden Path defaults: health/readiness, canonical API error, JWT + organisation context, correlation IDs over HTTP and events, structured logs, metrics, outbox and idempotent-consumer support, Testcontainers (MySQL, RabbitMQ) and contract-test helpers, Dockerfile, CI workflow, Helm chart with probes, NetworkPolicy and HPA. It must not contain domain entities, DTOs, repositories or business rules. Reuse evidence (Should): partner-client onboarding and Notification from starter to staging, with time and manual steps recorded.</w:t>
      </w:r>
    </w:p>
    <w:p>
      <w:pPr>
        <w:pStyle w:val="Heading1"/>
      </w:pPr>
      <w:r>
        <w:rPr/>
        <w:t>11. DevSecOps Evidence Pipeline</w:t>
      </w:r>
    </w:p>
    <w:p>
      <w:pPr>
        <w:keepNext/>
        <w:spacing w:before="0" w:after="0"/>
        <w:ind w:left="170"/>
      </w:pPr>
      <w:r>
        <w:rPr>
          <w:rFonts w:ascii="Courier New" w:hAnsi="Courier New" w:eastAsia="SimSun"/>
          <w:sz w:val="15"/>
        </w:rPr>
        <w:t xml:space="preserve">build -&gt; unit tests -&gt; Testcontainers integration (MySQL, RabbitMQ) -&gt; OpenAPI/JSON Schema contract tests</w:t>
      </w:r>
    </w:p>
    <w:p>
      <w:pPr>
        <w:keepNext/>
        <w:spacing w:before="0" w:after="0"/>
        <w:ind w:left="170"/>
      </w:pPr>
      <w:r>
        <w:rPr>
          <w:rFonts w:ascii="Courier New" w:hAnsi="Courier New" w:eastAsia="SimSun"/>
          <w:sz w:val="15"/>
        </w:rPr>
        <w:t xml:space="preserve">-&gt; architecture tests -&gt; frontend/Playwright (where applicable) -&gt; JaCoCo/Sonar -&gt; OWASP Dependency-Check + Trivy</w:t>
      </w:r>
    </w:p>
    <w:p>
      <w:pPr>
        <w:keepNext/>
        <w:spacing w:before="0" w:after="60"/>
        <w:ind w:left="170"/>
      </w:pPr>
      <w:r>
        <w:rPr>
          <w:rFonts w:ascii="Courier New" w:hAnsi="Courier New" w:eastAsia="SimSun"/>
          <w:sz w:val="15"/>
        </w:rPr>
        <w:t xml:space="preserve">-&gt; push image to DO Container Registry (tag = commit SHA) -&gt; helm upgrade to DOKS staging -&gt; smoke via gateway</w:t>
      </w:r>
    </w:p>
    <w:p>
      <w:pPr>
        <w:keepLines w:val="0"/>
        <w:widowControl/>
        <w:spacing w:after="40"/>
      </w:pPr>
      <w:r>
        <w:rPr>
          <w:b w:val="0"/>
          <w:i w:val="0"/>
        </w:rPr>
        <w:t xml:space="preserve">Workflows are reusable and path-filtered per service. Every evidence item binds to commit SHA and image digest. Blocking checks never use continue-on-error.</w:t>
      </w:r>
    </w:p>
    <w:p>
      <w:pPr>
        <w:pStyle w:val="Heading1"/>
      </w:pPr>
      <w:r>
        <w:rPr/>
        <w:t>12. Transition Plan from main@a3520e1</w:t>
      </w:r>
    </w:p>
    <w:tbl>
      <w:tblPr>
        <w:tblStyle w:val="TableGrid"/>
        <w:tblW w:w="1010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1500"/>
        <w:gridCol w:w="6000"/>
      </w:tblGrid>
      <w:tr>
        <w:trPr>
          <w:cantSplit/>
          <w:tblHeader/>
        </w:trPr>
        <w:tc>
          <w:tcPr>
            <w:tcW w:type="dxa" w:w="26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Gate</w:t>
            </w:r>
          </w:p>
        </w:tc>
        <w:tc>
          <w:tcPr>
            <w:tcW w:type="dxa" w:w="15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Dates</w:t>
            </w:r>
          </w:p>
        </w:tc>
        <w:tc>
          <w:tcPr>
            <w:tcW w:type="dxa" w:w="60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Required outcome</w:t>
            </w:r>
          </w:p>
        </w:tc>
      </w:tr>
      <w:tr>
        <w:trPr>
          <w:cantSplit/>
        </w:trPr>
        <w:tc>
          <w:tcPr>
            <w:tcW w:type="dxa" w:w="26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Gate 0 – Baseline &amp; architecture</w:t>
            </w:r>
          </w:p>
        </w:tc>
        <w:tc>
          <w:tcPr>
            <w:tcW w:type="dxa" w:w="15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22 Sep – 7 Oct</w:t>
            </w:r>
          </w:p>
        </w:tc>
        <w:tc>
          <w:tcPr>
            <w:tcW w:type="dxa" w:w="6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Tag a3520e1; re-run baseline suite; contracts v1; test plan; Terraform spike created and destroyed</w:t>
            </w:r>
          </w:p>
        </w:tc>
      </w:tr>
      <w:tr>
        <w:trPr>
          <w:cantSplit/>
        </w:trPr>
        <w:tc>
          <w:tcPr>
            <w:tcW w:type="dxa" w:w="26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Gate 1 – Platform skeleton</w:t>
            </w:r>
          </w:p>
        </w:tc>
        <w:tc>
          <w:tcPr>
            <w:tcW w:type="dxa" w:w="15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8 – 11 Oct</w:t>
            </w:r>
          </w:p>
        </w:tc>
        <w:tc>
          <w:tcPr>
            <w:tcW w:type="dxa" w:w="6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Starter; Spring Cloud Gateway + Keycloak; DOKS, Managed MySQL, RabbitMQ; CI deploys every service skeleton</w:t>
            </w:r>
          </w:p>
        </w:tc>
      </w:tr>
      <w:tr>
        <w:trPr>
          <w:cantSplit/>
        </w:trPr>
        <w:tc>
          <w:tcPr>
            <w:tcW w:type="dxa" w:w="26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Gate 2 – Services</w:t>
            </w:r>
          </w:p>
        </w:tc>
        <w:tc>
          <w:tcPr>
            <w:tcW w:type="dxa" w:w="15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12 – 16 Oct</w:t>
            </w:r>
          </w:p>
        </w:tc>
        <w:tc>
          <w:tcPr>
            <w:tcW w:type="dxa" w:w="6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Four services on own databases; organisation model; label procedures re-implemented; workflow APIs + screens; events flowing; equivalence tests pass</w:t>
            </w:r>
          </w:p>
        </w:tc>
      </w:tr>
      <w:tr>
        <w:trPr>
          <w:cantSplit/>
        </w:trPr>
        <w:tc>
          <w:tcPr>
            <w:tcW w:type="dxa" w:w="26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Gate 3 – Impact &amp; evidence</w:t>
            </w:r>
          </w:p>
        </w:tc>
        <w:tc>
          <w:tcPr>
            <w:tcW w:type="dxa" w:w="15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17 – 20 Oct</w:t>
            </w:r>
          </w:p>
        </w:tc>
        <w:tc>
          <w:tcPr>
            <w:tcW w:type="dxa" w:w="6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Two-phase impact on staging; load and failover runs; Should items if Gates 1–2 green</w:t>
            </w:r>
          </w:p>
        </w:tc>
      </w:tr>
      <w:tr>
        <w:trPr>
          <w:cantSplit/>
        </w:trPr>
        <w:tc>
          <w:tcPr>
            <w:tcW w:type="dxa" w:w="26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Freeze</w:t>
            </w:r>
          </w:p>
        </w:tc>
        <w:tc>
          <w:tcPr>
            <w:tcW w:type="dxa" w:w="15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21 – 26 Oct</w:t>
            </w:r>
          </w:p>
        </w:tc>
        <w:tc>
          <w:tcPr>
            <w:tcW w:type="dxa" w:w="6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Regression, final measured runs, demo rehearsal, presentation; staging destroyed afterwards</w:t>
            </w:r>
          </w:p>
        </w:tc>
      </w:tr>
    </w:tbl>
    <w:p>
      <w:pPr>
        <w:spacing w:before="0" w:after="0" w:line="120" w:lineRule="exact"/>
      </w:pPr>
    </w:p>
    <w:p>
      <w:pPr>
        <w:keepLines w:val="0"/>
        <w:widowControl/>
        <w:spacing w:after="40"/>
      </w:pPr>
      <w:r>
        <w:rPr>
          <w:b w:val="0"/>
          <w:i w:val="0"/>
        </w:rPr>
        <w:t xml:space="preserve">Scope tiers: Must 46 man-days, Should 4 (autoscaling, partner client, Notification, tracing), Could beyond budget (central audit read model, event-burst test, consumer-driven contract tests). The monolith remains only as a regression oracle.</w:t>
      </w:r>
    </w:p>
    <w:p>
      <w:pPr>
        <w:pStyle w:val="Heading1"/>
      </w:pPr>
      <w:r>
        <w:rPr/>
        <w:t>13. Acceptance Matrix</w:t>
      </w:r>
    </w:p>
    <w:tbl>
      <w:tblPr>
        <w:tblStyle w:val="TableGrid"/>
        <w:tblW w:w="1010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8000"/>
      </w:tblGrid>
      <w:tr>
        <w:trPr>
          <w:cantSplit/>
          <w:tblHeader/>
        </w:trPr>
        <w:tc>
          <w:tcPr>
            <w:tcW w:type="dxa" w:w="21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Concern</w:t>
            </w:r>
          </w:p>
        </w:tc>
        <w:tc>
          <w:tcPr>
            <w:tcW w:type="dxa" w:w="80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Minimum evidence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Business equivalence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Baseline fixtures pass for versioning, derivation, validation, maker-checker and publication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Boundaries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No cross-service persistence access; own migrations, users and grants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Contracts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OpenAPI + JSON Schema validation; canonical error envelope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Consistency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Outbox atomicity; duplicate and stale event handling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Platform interaction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Publish → POTENTIAL → adopt → CONFIRMED → review → publish, end to end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Tenancy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Cross-organisation access denied (403)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Scalability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1 vs 3 replicas at SLO (+ autoscaling, Should)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Availability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Pod kill meets pre-declared targets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Security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401/403 tests, NetworkPolicy check, secret scan, Trivy/OWASP gates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Observability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Correlation ID across gateway, services and events; metrics used in experiments</w:t>
            </w:r>
          </w:p>
        </w:tc>
      </w:tr>
    </w:tbl>
    <w:p>
      <w:pPr>
        <w:spacing w:before="0" w:after="0" w:line="120" w:lineRule="exact"/>
      </w:pPr>
    </w:p>
    <w:p>
      <w:pPr>
        <w:pStyle w:val="Heading1"/>
      </w:pPr>
      <w:r>
        <w:rPr/>
        <w:t>14. Course Traceability</w:t>
      </w:r>
    </w:p>
    <w:tbl>
      <w:tblPr>
        <w:tblStyle w:val="TableGrid"/>
        <w:tblW w:w="1010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8000"/>
      </w:tblGrid>
      <w:tr>
        <w:trPr>
          <w:cantSplit/>
          <w:tblHeader/>
        </w:trPr>
        <w:tc>
          <w:tcPr>
            <w:tcW w:type="dxa" w:w="21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SWE5001 requirement</w:t>
            </w:r>
          </w:p>
        </w:tc>
        <w:tc>
          <w:tcPr>
            <w:tcW w:type="dxa" w:w="8000"/>
            <w:shd w:val="clear" w:color="auto" w:fill="EEEEEE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Architecture response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Business ecosystem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Seed / Producer / Consumer + Magnet / Toolbox / Matchmaker; two-phase interaction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Reusable platform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Domain APIs/events, Keycloak, Notification (Should), starter / Golden Path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Scalability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Independent Compliance scale-out with fixed-CPU, open-model experiments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Cloud-native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Containerised services on DOKS; managed LB, MySQL, registry; operators; autoscaling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DevOps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Reusable GitHub Actions, Helm templates, Terraform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Security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Keycloak OIDC/JWT, RBAC + organisation checks, TLS, NetworkPolicy, per-service credentials, scans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Application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React reference consumer; partner client (Should)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Benefit proof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Scale/failover metrics; onboarding measurements (Should)</w:t>
            </w:r>
          </w:p>
        </w:tc>
      </w:tr>
      <w:tr>
        <w:trPr>
          <w:cantSplit/>
        </w:trPr>
        <w:tc>
          <w:tcPr>
            <w:tcW w:type="dxa" w:w="21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/>
                <w:sz w:val="15"/>
              </w:rPr>
              <w:t xml:space="preserve">Effort bound</w:t>
            </w:r>
          </w:p>
        </w:tc>
        <w:tc>
          <w:tcPr>
            <w:tcW w:type="dxa" w:w="8000"/>
            <w:tcMar>
              <w:top w:w="3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SimSun"/>
                <w:b w:val="0"/>
                <w:sz w:val="15"/>
              </w:rPr>
              <w:t xml:space="preserve">Must 46 + Should 4 man-days; four domain services; one Seed</w:t>
            </w:r>
          </w:p>
        </w:tc>
      </w:tr>
    </w:tbl>
    <w:p>
      <w:pPr>
        <w:spacing w:before="0" w:after="0" w:line="120" w:lineRule="exact"/>
      </w:pPr>
    </w:p>
    <w:p>
      <w:pPr>
        <w:pStyle w:val="Heading1"/>
      </w:pPr>
      <w:r>
        <w:rPr/>
        <w:t>15. Key Tradeoffs / Explicit Limits</w:t>
      </w:r>
    </w:p>
    <w:p>
      <w:pPr>
        <w:pStyle w:val="ListBullet"/>
        <w:spacing w:after="22"/>
        <w:ind w:left="255" w:hanging="102"/>
      </w:pPr>
      <w:r>
        <w:rPr>
          <w:b w:val="0"/>
          <w:i w:val="0"/>
        </w:rPr>
        <w:t xml:space="preserve">Four domain services, not one per legacy module: enough independence without deployment sprawl.</w:t>
      </w:r>
    </w:p>
    <w:p>
      <w:pPr>
        <w:pStyle w:val="ListBullet"/>
        <w:spacing w:after="22"/>
        <w:ind w:left="255" w:hanging="102"/>
      </w:pPr>
      <w:r>
        <w:rPr>
          <w:b w:val="0"/>
          <w:i w:val="0"/>
        </w:rPr>
        <w:t xml:space="preserve">Database per service on one Managed MySQL cluster: ownership preserved at low cost; shared failure domain.</w:t>
      </w:r>
    </w:p>
    <w:p>
      <w:pPr>
        <w:pStyle w:val="ListBullet"/>
        <w:spacing w:after="22"/>
        <w:ind w:left="255" w:hanging="102"/>
      </w:pPr>
      <w:r>
        <w:rPr>
          <w:b w:val="0"/>
          <w:i w:val="0"/>
        </w:rPr>
        <w:t xml:space="preserve">Eventual consistency across services: no distributed transactions; projection lag is measured and visible.</w:t>
      </w:r>
    </w:p>
    <w:p>
      <w:pPr>
        <w:pStyle w:val="ListBullet"/>
        <w:spacing w:after="22"/>
        <w:ind w:left="255" w:hanging="102"/>
      </w:pPr>
      <w:r>
        <w:rPr>
          <w:b w:val="0"/>
          <w:i w:val="0"/>
        </w:rPr>
        <w:t xml:space="preserve">One synchronous validation dependency: immediate guard; fails closed on timeout or open circuit.</w:t>
      </w:r>
    </w:p>
    <w:p>
      <w:pPr>
        <w:pStyle w:val="ListBullet"/>
        <w:spacing w:after="22"/>
        <w:ind w:left="255" w:hanging="102"/>
      </w:pPr>
      <w:r>
        <w:rPr>
          <w:b w:val="0"/>
          <w:i w:val="0"/>
        </w:rPr>
        <w:t xml:space="preserve">DigitalOcean with in-cluster gateway, Keycloak and RabbitMQ: about half the AWS cost and full local parity, but more operational work, no availability zones and no managed secret store.</w:t>
      </w:r>
    </w:p>
    <w:p>
      <w:pPr>
        <w:pStyle w:val="ListBullet"/>
        <w:spacing w:after="22"/>
        <w:ind w:left="255" w:hanging="102"/>
      </w:pPr>
      <w:r>
        <w:rPr>
          <w:b w:val="0"/>
          <w:i w:val="0"/>
        </w:rPr>
        <w:t xml:space="preserve">Ingredient vocabulary in Specification: one-directional dependencies; Compliance must surface UNRESOLVED ingredients.</w:t>
      </w:r>
    </w:p>
    <w:p>
      <w:pPr>
        <w:pStyle w:val="ListBullet"/>
        <w:spacing w:after="22"/>
        <w:ind w:left="255" w:hanging="102"/>
      </w:pPr>
      <w:r>
        <w:rPr>
          <w:b w:val="0"/>
          <w:i w:val="0"/>
        </w:rPr>
        <w:t xml:space="preserve">In-memory caching of immutable versions: makes Compliance compute-bound; relies strictly on BR-01.</w:t>
      </w:r>
    </w:p>
    <w:p>
      <w:pPr>
        <w:pStyle w:val="ListBullet"/>
        <w:spacing w:after="22"/>
        <w:ind w:left="255" w:hanging="102"/>
      </w:pPr>
      <w:r>
        <w:rPr>
          <w:b w:val="0"/>
          <w:i w:val="0"/>
        </w:rPr>
        <w:t xml:space="preserve">Out of scope: legal certification, multi-zone/region HA, exactly-once delivery, Saga, zero-downtime production migration, rules marketplace.</w:t>
      </w:r>
    </w:p>
    <w:p>
      <w:pPr>
        <w:pStyle w:val="Heading1"/>
      </w:pPr>
      <w:r>
        <w:rPr/>
        <w:t>16. Final Architecture Acceptance Condition</w:t>
      </w:r>
    </w:p>
    <w:p>
      <w:pPr>
        <w:pStyle w:val="ListBullet"/>
        <w:spacing w:after="22"/>
        <w:ind w:left="255" w:hanging="102"/>
      </w:pPr>
      <w:r>
        <w:rPr>
          <w:b w:val="0"/>
          <w:i w:val="0"/>
        </w:rPr>
        <w:t xml:space="preserve">The two-phase supplier–manufacturer interaction around the Versioned Supplier Material Specification Seed is demonstrable end to end.</w:t>
      </w:r>
    </w:p>
    <w:p>
      <w:pPr>
        <w:pStyle w:val="ListBullet"/>
        <w:spacing w:after="22"/>
        <w:ind w:left="255" w:hanging="102"/>
      </w:pPr>
      <w:r>
        <w:rPr>
          <w:b w:val="0"/>
          <w:i w:val="0"/>
        </w:rPr>
        <w:t xml:space="preserve">Four bounded-context services deploy independently on DOKS and integrate only through contracts and events.</w:t>
      </w:r>
    </w:p>
    <w:p>
      <w:pPr>
        <w:pStyle w:val="ListBullet"/>
        <w:spacing w:after="22"/>
        <w:ind w:left="255" w:hanging="102"/>
      </w:pPr>
      <w:r>
        <w:rPr>
          <w:b w:val="0"/>
          <w:i w:val="0"/>
        </w:rPr>
        <w:t xml:space="preserve">BR-01..BR-10 are preserved, BR-11 is enforced and adaptations are documented.</w:t>
      </w:r>
    </w:p>
    <w:p>
      <w:pPr>
        <w:pStyle w:val="ListBullet"/>
        <w:spacing w:after="22"/>
        <w:ind w:left="255" w:hanging="102"/>
      </w:pPr>
      <w:r>
        <w:rPr>
          <w:b w:val="0"/>
          <w:i w:val="0"/>
        </w:rPr>
        <w:t xml:space="preserve">DigitalOcean staging includes load balancer, gateway, managed Kubernetes and MySQL, RabbitMQ, Keycloak and observability.</w:t>
      </w:r>
    </w:p>
    <w:p>
      <w:pPr>
        <w:pStyle w:val="ListBullet"/>
        <w:spacing w:after="22"/>
        <w:ind w:left="255" w:hanging="102"/>
      </w:pPr>
      <w:r>
        <w:rPr>
          <w:b w:val="0"/>
          <w:i w:val="0"/>
        </w:rPr>
        <w:t xml:space="preserve">Compliance scale-out and one failover test are measured against pre-declared targets.</w:t>
      </w:r>
    </w:p>
    <w:p>
      <w:pPr>
        <w:pStyle w:val="ListBullet"/>
        <w:spacing w:after="22"/>
        <w:ind w:left="255" w:hanging="102"/>
      </w:pPr>
      <w:r>
        <w:rPr>
          <w:b w:val="0"/>
          <w:i w:val="0"/>
        </w:rPr>
        <w:t xml:space="preserve">DevSecOps evidence is bound to commit SHA and image digest.</w:t>
      </w:r>
    </w:p>
    <w:p>
      <w:pPr>
        <w:pStyle w:val="ListBullet"/>
        <w:spacing w:after="22"/>
        <w:ind w:left="255" w:hanging="102"/>
      </w:pPr>
      <w:r>
        <w:rPr>
          <w:b w:val="0"/>
          <w:i w:val="0"/>
        </w:rPr>
        <w:t xml:space="preserve">Anything not demonstrated is reported as a limitation, not implied by a diagram.</w:t>
      </w:r>
    </w:p>
    <w:sectPr w:rsidR="00FC693F" w:rsidRPr="0006063C" w:rsidSect="00034616">
      <w:footerReference w:type="default" r:id="rId9"/>
      <w:pgSz w:w="11906" w:h="16838"/>
      <w:pgMar w:top="822" w:right="879" w:bottom="765" w:left="879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7" w:lineRule="auto"/>
    </w:pPr>
    <w:rPr>
      <w:rFonts w:ascii="Arial" w:hAnsi="Arial" w:eastAsia="SimSu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50"/>
      <w:outlineLvl w:val="0"/>
    </w:pPr>
    <w:rPr>
      <w:rFonts w:asciiTheme="majorHAnsi" w:eastAsiaTheme="majorEastAsia" w:hAnsiTheme="majorHAnsi" w:cstheme="majorBidi" w:ascii="Arial" w:hAnsi="Arial" w:eastAsia="SimHe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50"/>
      <w:outlineLvl w:val="1"/>
    </w:pPr>
    <w:rPr>
      <w:rFonts w:asciiTheme="majorHAnsi" w:eastAsiaTheme="majorEastAsia" w:hAnsiTheme="majorHAnsi" w:cstheme="majorBidi" w:ascii="Arial" w:hAnsi="Arial" w:eastAsia="SimHei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50"/>
      <w:outlineLvl w:val="2"/>
    </w:pPr>
    <w:rPr>
      <w:rFonts w:asciiTheme="majorHAnsi" w:eastAsiaTheme="majorEastAsia" w:hAnsiTheme="majorHAnsi" w:cstheme="majorBidi" w:ascii="Arial" w:hAnsi="Arial" w:eastAsia="SimHei"/>
      <w:b/>
      <w:bCs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50" w:line="240" w:lineRule="auto" w:before="100"/>
      <w:contextualSpacing/>
    </w:pPr>
    <w:rPr>
      <w:rFonts w:asciiTheme="majorHAnsi" w:eastAsiaTheme="majorEastAsia" w:hAnsiTheme="majorHAnsi" w:cstheme="majorBidi" w:ascii="Arial" w:hAnsi="Arial" w:eastAsia="SimHei"/>
      <w:b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