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40"/>
      </w:pPr>
      <w:r>
        <w:rPr>
          <w:rFonts w:ascii="Arial" w:hAnsi="Arial" w:eastAsia="Noto Sans CJK SC"/>
          <w:b/>
          <w:sz w:val="38"/>
        </w:rPr>
        <w:t>SpecTrace-CN 架构 - 单一事实源 v2.0</w:t>
      </w:r>
    </w:p>
    <w:p>
      <w:pPr>
        <w:keepLines w:val="0"/>
        <w:widowControl/>
      </w:pPr>
      <w:r>
        <w:rPr>
          <w:rFonts w:eastAsia="Noto Sans CJK SC"/>
          <w:b/>
          <w:i w:val="0"/>
        </w:rPr>
        <w:t xml:space="preserve">基线：hxj04121-lab/FoodLabelFlow main@a3520e1（2026年9月25日）· Staging：DigitalOcean SGP1</w:t>
      </w:r>
    </w:p>
    <w:p>
      <w:pPr>
        <w:keepLines w:val="0"/>
        <w:widowControl/>
        <w:spacing w:after="40"/>
      </w:pPr>
      <w:r>
        <w:rPr>
          <w:rFonts w:eastAsia="Noto Sans CJK SC"/>
          <w:b w:val="0"/>
          <w:i w:val="0"/>
        </w:rPr>
        <w:t xml:space="preserve">目的：作为 SWE5001 实现、契约、云部署、质量属性证据和最终报告追溯的规范目标架构。</w:t>
      </w:r>
    </w:p>
    <w:p>
      <w:pPr>
        <w:keepLines w:val="0"/>
        <w:widowControl/>
        <w:spacing w:after="40"/>
      </w:pPr>
      <w:r>
        <w:rPr>
          <w:rFonts w:eastAsia="Noto Sans CJK SC"/>
          <w:b w:val="0"/>
          <w:i w:val="0"/>
        </w:rPr>
        <w:t xml:space="preserve">状态模型：BASELINE 描述当前 SpecTrace 代码；TARGET MVP 描述计划中的 SpecTrace-CN 架构。只有在明确记录为架构决策时，二者之间才允许存在差异。</w:t>
      </w:r>
    </w:p>
    <w:p>
      <w:pPr>
        <w:keepLines w:val="0"/>
        <w:widowControl/>
        <w:spacing w:after="40"/>
      </w:pPr>
      <w:r>
        <w:rPr>
          <w:rFonts w:eastAsia="Noto Sans CJK SC"/>
          <w:b/>
          <w:i w:val="0"/>
        </w:rPr>
        <w:t xml:space="preserve">v2.0 变更。</w:t>
      </w:r>
      <w:r>
        <w:rPr>
          <w:rFonts w:eastAsia="Noto Sans CJK SC"/>
          <w:b w:val="0"/>
          <w:i w:val="0"/>
        </w:rPr>
        <w:t xml:space="preserve">与 Project Proposal v2 对齐：核实后的基线缺口、两阶段影响流程、组织模型（BR-11）、存储过程重写、配料归属、DigitalOcean 部署、固定 CPU + 开放模型压测，以及 Must/Should/Could 范围分级。详细规则见 SpecTrace-CN_Architecture_AI_Source_of_Truth_v2.md。</w:t>
      </w:r>
    </w:p>
    <w:p>
      <w:pPr>
        <w:pStyle w:val="Heading1"/>
      </w:pPr>
      <w:r>
        <w:rPr>
          <w:rFonts w:eastAsia="Noto Sans CJK SC"/>
        </w:rPr>
        <w:t>1. 基线快照</w:t>
      </w:r>
    </w:p>
    <w:p>
      <w:pPr>
        <w:keepLines w:val="0"/>
        <w:widowControl/>
        <w:spacing w:after="40"/>
      </w:pPr>
      <w:r>
        <w:rPr>
          <w:rFonts w:eastAsia="Noto Sans CJK SC"/>
          <w:b w:val="0"/>
          <w:i w:val="0"/>
        </w:rPr>
        <w:t xml:space="preserve">起点是 main commit a3520e1f1d450796a694b6930d7792dda0f2b512：React/TypeScript 前端 + Java 21 Spring Boot 4.1 模块化单体，使用 Spring JDBC、Flyway 和 MySQL 8.4.x，本地用 Docker Compose 运行，已有较完整的 GitHub Actions 流水线。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8000"/>
      </w:tblGrid>
      <w:tr>
        <w:trPr>
          <w:cantSplit/>
          <w:tblHeader/>
        </w:trPr>
        <w:tc>
          <w:tcPr>
            <w:tcW w:type="dxa" w:w="21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基线领域</w:t>
            </w:r>
          </w:p>
        </w:tc>
        <w:tc>
          <w:tcPr>
            <w:tcW w:type="dxa" w:w="80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a3520e1 的状态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运行时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单个 Spring Boot 可部署单元；React/TypeScript 前端；一个 MySQL 数据库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持久化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Spring JDBC + Flyway；标签提交审核/审核决定/发布规则写在 MySQL 存储过程中，内嵌 RBAC 关联查询和审计写入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可复用能力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供应商/物料/规格和产品/配方的版本化及发布；基于请求头的身份识别 + 数据库 RBAC；标签草稿与结构化声明；与版本绑定的推导过敏原；通过 REST 执行验证；LabelSnapshotPort 和 FormulaCompositionPort 两个接缝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工程证据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MySQL Testcontainers；Playwright；容器冒烟；JaCoCo/Sonar；Trivy；OWASP Dependency-Check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核实的缺口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审核/批准/发布没有 API 和界面（发布存储过程只在测试中调用）；impact 模块为空；没有组织模型；跨上下文外键（ingredient、data_provenance、user_account、product 指针）；没有云环境；无法独立扩展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rPr>
          <w:rFonts w:eastAsia="Noto Sans CJK SC"/>
        </w:rPr>
        <w:t>2. 架构驱动因素</w:t>
      </w:r>
    </w:p>
    <w:p>
      <w:pPr>
        <w:keepLines w:val="0"/>
        <w:widowControl/>
        <w:spacing w:after="40"/>
      </w:pPr>
      <w:r>
        <w:rPr>
          <w:rFonts w:eastAsia="Noto Sans CJK SC"/>
          <w:b w:val="0"/>
          <w:i w:val="0"/>
        </w:rPr>
        <w:t xml:space="preserve">主要 Seed：版本化供应商物料规格。Producer：配料供应商。Consumer：食品制造商。代码库是技术基线，不是 Seed。核心交互分两阶段：SpecificationPublished → POTENTIAL 结论（撮合）；制造商采用（FormulaPublished）→ CONFIRMED 结论 → 标签审核、批准和发布。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8000"/>
      </w:tblGrid>
      <w:tr>
        <w:trPr>
          <w:cantSplit/>
          <w:tblHeader/>
        </w:trPr>
        <w:tc>
          <w:tcPr>
            <w:tcW w:type="dxa" w:w="21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质量属性</w:t>
            </w:r>
          </w:p>
        </w:tc>
        <w:tc>
          <w:tcPr>
            <w:tcW w:type="dxa" w:w="80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场景 / 架构响应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可扩展性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满足 SLO 时 Compliance 的最大可持续速率：3 副本 ≥ 1 副本的 2 倍；每副本固定 1 vCPU，运行在独占 CPU 节点池；HPA + 节点自动伸缩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性能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SLO：p95 ≤ 2 秒、错误率 &lt; 1%；不同步扇出调用上游；不可变版本缓存在内存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可用性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在约 50% 容量下终止 3 个 Compliance pod 中的一个：整体错误率 &lt; 1%，连续出错不超过 10 秒，60 秒内 p95 回到 SLO，替补 pod 3 分钟内就绪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安全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Keycloak OIDC/JWT；RBAC + 组织检查；TLS；默认拒绝的 NetworkPolicy；每服务独立凭据；扫描；负向测试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一致性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服务内强一致本地事务；跨服务通过 outbox + RabbitMQ 最终一致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可维护性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DDD 限界上下文；服务自有数据；版本化契约；Starter 不含领域代码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可追溯性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不可变版本；本地 audit + outbox；关联 ID 贯穿 HTTP 和事件；日志查询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可移植性 / 成本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同一技术栈可在本地 Docker Compose 和 DigitalOcean 上运行；staging 费用在学生额度之内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rPr>
          <w:rFonts w:eastAsia="Noto Sans CJK SC"/>
        </w:rPr>
        <w:t>3. 目标逻辑架构</w:t>
      </w:r>
    </w:p>
    <w:p>
      <w:pPr>
        <w:keepLines w:val="0"/>
        <w:widowControl/>
        <w:spacing w:after="40"/>
      </w:pPr>
      <w:r>
        <w:rPr>
          <w:rFonts w:eastAsia="Noto Sans CJK SC"/>
          <w:b w:val="0"/>
          <w:i w:val="0"/>
        </w:rPr>
        <w:t xml:space="preserve">有意选择四个领域服务：既足以展示微服务、独立扩展和复用，又能控制在 50 人日之内。依赖从 Specification 单向流向下游。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1168146"/>
            <wp:docPr id="1" nam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6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eastAsia="Noto Sans CJK SC"/>
          <w:i/>
          <w:sz w:val="16"/>
        </w:rPr>
        <w:t xml:space="preserve">图 1. 目标上下文映射与两阶段交互。实线为同步 HTTP，虚线为经 outbox 和 RabbitMQ 传递的事件。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1950"/>
        <w:gridCol w:w="3700"/>
        <w:gridCol w:w="2800"/>
      </w:tblGrid>
      <w:tr>
        <w:trPr>
          <w:cantSplit/>
          <w:tblHeader/>
        </w:trPr>
        <w:tc>
          <w:tcPr>
            <w:tcW w:type="dxa" w:w="165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服务</w:t>
            </w:r>
          </w:p>
        </w:tc>
        <w:tc>
          <w:tcPr>
            <w:tcW w:type="dxa" w:w="195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类别</w:t>
            </w:r>
          </w:p>
        </w:tc>
        <w:tc>
          <w:tcPr>
            <w:tcW w:type="dxa" w:w="37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拥有的数据</w:t>
            </w:r>
          </w:p>
        </w:tc>
        <w:tc>
          <w:tcPr>
            <w:tcW w:type="dxa" w:w="28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主要契约</w:t>
            </w:r>
          </w:p>
        </w:tc>
      </w:tr>
      <w:tr>
        <w:trPr>
          <w:cantSplit/>
        </w:trPr>
        <w:tc>
          <w:tcPr>
            <w:tcW w:type="dxa" w:w="165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Specification</w:t>
            </w:r>
          </w:p>
        </w:tc>
        <w:tc>
          <w:tcPr>
            <w:tcW w:type="dxa" w:w="195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支撑域 / Producer，上游</w:t>
            </w:r>
          </w:p>
        </w:tc>
        <w:tc>
          <w:tcPr>
            <w:tcW w:type="dxa" w:w="3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supplier、物料、配料词表、规格版本及成分</w:t>
            </w:r>
          </w:p>
        </w:tc>
        <w:tc>
          <w:tcPr>
            <w:tcW w:type="dxa" w:w="2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Producer API；发布 SpecificationPublished</w:t>
            </w:r>
          </w:p>
        </w:tc>
      </w:tr>
      <w:tr>
        <w:trPr>
          <w:cantSplit/>
        </w:trPr>
        <w:tc>
          <w:tcPr>
            <w:tcW w:type="dxa" w:w="165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Formulation</w:t>
            </w:r>
          </w:p>
        </w:tc>
        <w:tc>
          <w:tcPr>
            <w:tcW w:type="dxa" w:w="195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支撑域 / 制造商私有</w:t>
            </w:r>
          </w:p>
        </w:tc>
        <w:tc>
          <w:tcPr>
            <w:tcW w:type="dxa" w:w="3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product、配方版本及条目、已发布规格投影</w:t>
            </w:r>
          </w:p>
        </w:tc>
        <w:tc>
          <w:tcPr>
            <w:tcW w:type="dxa" w:w="2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Formula API；发布 FormulaPublished</w:t>
            </w:r>
          </w:p>
        </w:tc>
      </w:tr>
      <w:tr>
        <w:trPr>
          <w:cantSplit/>
        </w:trPr>
        <w:tc>
          <w:tcPr>
            <w:tcW w:type="dxa" w:w="165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Compliance</w:t>
            </w:r>
          </w:p>
        </w:tc>
        <w:tc>
          <w:tcPr>
            <w:tcW w:type="dxa" w:w="195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核心域 / 横向扩展</w:t>
            </w:r>
          </w:p>
        </w:tc>
        <w:tc>
          <w:tcPr>
            <w:tcW w:type="dxa" w:w="3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过敏原字典、配料→过敏原映射、规则集、验证、影响结论、投影</w:t>
            </w:r>
          </w:p>
        </w:tc>
        <w:tc>
          <w:tcPr>
            <w:tcW w:type="dxa" w:w="2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验证（内部）、影响预览与收件箱 API；发布 ImpactFinding</w:t>
            </w:r>
          </w:p>
        </w:tc>
      </w:tr>
      <w:tr>
        <w:trPr>
          <w:cantSplit/>
        </w:trPr>
        <w:tc>
          <w:tcPr>
            <w:tcW w:type="dxa" w:w="165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Label Workflow</w:t>
            </w:r>
          </w:p>
        </w:tc>
        <w:tc>
          <w:tcPr>
            <w:tcW w:type="dxa" w:w="195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支撑域</w:t>
            </w:r>
          </w:p>
        </w:tc>
        <w:tc>
          <w:tcPr>
            <w:tcW w:type="dxa" w:w="3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标签、声明、验证记录、审核、批准、发布、当前标签标记</w:t>
            </w:r>
          </w:p>
        </w:tc>
        <w:tc>
          <w:tcPr>
            <w:tcW w:type="dxa" w:w="2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Workflow API；发布 LabelPublished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rPr>
          <w:rFonts w:eastAsia="Noto Sans CJK SC"/>
        </w:rPr>
        <w:t>4. 从基线到目标的迁移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2100"/>
        <w:gridCol w:w="4800"/>
      </w:tblGrid>
      <w:tr>
        <w:trPr>
          <w:cantSplit/>
          <w:tblHeader/>
        </w:trPr>
        <w:tc>
          <w:tcPr>
            <w:tcW w:type="dxa" w:w="32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基线</w:t>
            </w:r>
          </w:p>
        </w:tc>
        <w:tc>
          <w:tcPr>
            <w:tcW w:type="dxa" w:w="21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目标</w:t>
            </w:r>
          </w:p>
        </w:tc>
        <w:tc>
          <w:tcPr>
            <w:tcW w:type="dxa" w:w="48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迁移规则</w:t>
            </w:r>
          </w:p>
        </w:tc>
      </w:tr>
      <w:tr>
        <w:trPr>
          <w:cantSplit/>
        </w:trPr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catalog：supplier/material/spec + ingredient</w:t>
            </w:r>
          </w:p>
        </w:tc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Specification</w:t>
            </w:r>
          </w:p>
        </w:tc>
        <w:tc>
          <w:tcPr>
            <w:tcW w:type="dxa" w:w="4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保留 ID 和版本不可变性；配料词表迁到这里</w:t>
            </w:r>
          </w:p>
        </w:tc>
      </w:tr>
      <w:tr>
        <w:trPr>
          <w:cantSplit/>
        </w:trPr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catalog：product/formula</w:t>
            </w:r>
          </w:p>
        </w:tc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Formulation</w:t>
            </w:r>
          </w:p>
        </w:tc>
        <w:tc>
          <w:tcPr>
            <w:tcW w:type="dxa" w:w="4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保留配方历史和当前指针；消费已发布规格投影</w:t>
            </w:r>
          </w:p>
        </w:tc>
      </w:tr>
      <w:tr>
        <w:trPr>
          <w:cantSplit/>
        </w:trPr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allergen + validation</w:t>
            </w:r>
          </w:p>
        </w:tc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Compliance</w:t>
            </w:r>
          </w:p>
        </w:tc>
        <w:tc>
          <w:tcPr>
            <w:tcW w:type="dxa" w:w="4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LabelSnapshotPort → 验证请求载荷；FormulaCompositionPort → 配方投影</w:t>
            </w:r>
          </w:p>
        </w:tc>
      </w:tr>
      <w:tr>
        <w:trPr>
          <w:cantSplit/>
        </w:trPr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impact（空）+ 影响相关表</w:t>
            </w:r>
          </w:p>
        </w:tc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Compliance</w:t>
            </w:r>
          </w:p>
        </w:tc>
        <w:tc>
          <w:tcPr>
            <w:tcW w:type="dxa" w:w="4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全新实现两阶段流程</w:t>
            </w:r>
          </w:p>
        </w:tc>
      </w:tr>
      <w:tr>
        <w:trPr>
          <w:cantSplit/>
        </w:trPr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label + workflow + 标签存储过程</w:t>
            </w:r>
          </w:p>
        </w:tc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Label Workflow</w:t>
            </w:r>
          </w:p>
        </w:tc>
        <w:tc>
          <w:tcPr>
            <w:tcW w:type="dxa" w:w="4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提交审核/审核决定/发布重写为 Java 本地事务；新增 REST API 和界面</w:t>
            </w:r>
          </w:p>
        </w:tc>
      </w:tr>
      <w:tr>
        <w:trPr>
          <w:cantSplit/>
        </w:trPr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identity</w:t>
            </w:r>
          </w:p>
        </w:tc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Keycloak + Starter 中的 JWT 适配</w:t>
            </w:r>
          </w:p>
        </w:tc>
        <w:tc>
          <w:tcPr>
            <w:tcW w:type="dxa" w:w="4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遗留请求头只保留在本地/测试配置</w:t>
            </w:r>
          </w:p>
        </w:tc>
      </w:tr>
      <w:tr>
        <w:trPr>
          <w:cantSplit/>
        </w:trPr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audit</w:t>
            </w:r>
          </w:p>
        </w:tc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各服务本地审计</w:t>
            </w:r>
          </w:p>
        </w:tc>
        <w:tc>
          <w:tcPr>
            <w:tcW w:type="dxa" w:w="4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与业务状态和 outbox 同一事务；中央只读模型为 Could</w:t>
            </w:r>
          </w:p>
        </w:tc>
      </w:tr>
      <w:tr>
        <w:trPr>
          <w:cantSplit/>
        </w:trPr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React 界面</w:t>
            </w:r>
          </w:p>
        </w:tc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参考消费方</w:t>
            </w:r>
          </w:p>
        </w:tc>
        <w:tc>
          <w:tcPr>
            <w:tcW w:type="dxa" w:w="4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只通过网关调用公开 API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rPr>
          <w:rFonts w:eastAsia="Noto Sans CJK SC"/>
        </w:rPr>
        <w:t>5. 保留的业务规则与有意调整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8800"/>
      </w:tblGrid>
      <w:tr>
        <w:trPr>
          <w:cantSplit/>
          <w:tblHeader/>
        </w:trPr>
        <w:tc>
          <w:tcPr>
            <w:tcW w:type="dxa" w:w="13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规则</w:t>
            </w:r>
          </w:p>
        </w:tc>
        <w:tc>
          <w:tcPr>
            <w:tcW w:type="dxa" w:w="88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目标契约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BR-01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已发布的规格、配方和标签不可变；变更产生新版本（因此可以安全地缓存在内存中）。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BR-02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供应商发布绝不改变配方；阶段一只评估“会有什么变化”，只有制造商采用（阶段二）才改变配方。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BR-03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配方过敏原 = 所有已解析成分的并集；没有映射的配料标记为 UNRESOLVED，并强制得出 REVIEW_REQUIRED。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BR-04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required − declared（当前已发布标签）非空或存在 UNRESOLVED → REVIEW_REQUIRED，否则 NO_ACTION；结论类型为 POTENTIAL 或 CONFIRMED；只有 CONFIRMED + REVIEW_REQUIRED 才创建审核任务。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BR-05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DRAFT → PENDING_REVIEW 需要同一版本的 PASSED 验证且无阻塞性 ERROR，检查读取 Label Workflow 本地的验证记录。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BR-06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Maker-checker：JWT subject 必须不同于 created_by_subject。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BR-07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除认证外还必须具备相应角色。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BR-08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发布在 Label Workflow 内原子完成；废弃 product.current_published_label_version_id；不引入 Saga。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BR-09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request-changes/reject 保留决策历史；REJECTED 不能发布。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BR-10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业务状态 + 本地 audit + outbox 一起提交或回滚。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BR-11（新增）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组织归属：供应商只能修改自己的物料；已发布规格对所有制造商可读；配方、标签和影响结论只对所属制造商可见。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rPr>
          <w:rFonts w:eastAsia="Noto Sans CJK SC"/>
        </w:rPr>
        <w:t>6. 集成与数据架构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/>
          <w:i w:val="0"/>
        </w:rPr>
        <w:t xml:space="preserve">南北向：</w:t>
      </w:r>
      <w:r>
        <w:rPr>
          <w:rFonts w:eastAsia="Noto Sans CJK SC"/>
          <w:b w:val="0"/>
          <w:i w:val="0"/>
        </w:rPr>
        <w:t xml:space="preserve">DO Load Balancer（TLS）→ Spring Cloud Gateway：/api/specifications、/api/formulations、/api/compliance、/api/labels、/api/notifications（Should）、/auth → Keycloak。负责 JWT 校验、限流与请求体大小限制、CORS、关联 ID。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/>
          <w:i w:val="0"/>
        </w:rPr>
        <w:t xml:space="preserve">唯一的同步调用：</w:t>
      </w:r>
      <w:r>
        <w:rPr>
          <w:rFonts w:eastAsia="Noto Sans CJK SC"/>
          <w:b w:val="0"/>
          <w:i w:val="0"/>
        </w:rPr>
        <w:t xml:space="preserve">Label Workflow → Compliance /internal/validations，携带草稿快照和幂等键；2 秒超时、熔断器、最多重试一次、失败一律按未通过处理；结果存入 label_validation_record；NetworkPolicy 只放行这一条路径。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/>
          <w:i w:val="0"/>
        </w:rPr>
        <w:t xml:space="preserve">事件：</w:t>
      </w:r>
      <w:r>
        <w:rPr>
          <w:rFonts w:eastAsia="Noto Sans CJK SC"/>
          <w:b w:val="0"/>
          <w:i w:val="0"/>
        </w:rPr>
        <w:t xml:space="preserve">版本化 JSON Schema 封装，包含 eventId、organisationId、correlationId、aggregateId/version。outbox 转发器以 publisher confirm 方式发布到 topic exchange spectrace.events；每个消费方拥有一个投递上限为 5、带死信队列的 quorum 队列；消费方按 eventId 去重并丢弃过期的聚合版本。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/>
          <w:i w:val="0"/>
        </w:rPr>
        <w:t xml:space="preserve">数据：</w:t>
      </w:r>
      <w:r>
        <w:rPr>
          <w:rFonts w:eastAsia="Noto Sans CJK SC"/>
          <w:b w:val="0"/>
          <w:i w:val="0"/>
        </w:rPr>
        <w:t xml:space="preserve">一个 DigitalOcean Managed MySQL 集群（主节点 + 备用节点），每个服务（以及 keycloak）各有一个数据库和用户，授权仅限自己的数据库；跨上下文外键改为 ID + 投影；用户改为 OIDC subject；溯源信息在各服务本地保存。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700"/>
        <w:gridCol w:w="2700"/>
        <w:gridCol w:w="3200"/>
      </w:tblGrid>
      <w:tr>
        <w:trPr>
          <w:cantSplit/>
          <w:tblHeader/>
        </w:trPr>
        <w:tc>
          <w:tcPr>
            <w:tcW w:type="dxa" w:w="25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事件</w:t>
            </w:r>
          </w:p>
        </w:tc>
        <w:tc>
          <w:tcPr>
            <w:tcW w:type="dxa" w:w="17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Producer</w:t>
            </w:r>
          </w:p>
        </w:tc>
        <w:tc>
          <w:tcPr>
            <w:tcW w:type="dxa" w:w="27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Consumers</w:t>
            </w:r>
          </w:p>
        </w:tc>
        <w:tc>
          <w:tcPr>
            <w:tcW w:type="dxa" w:w="32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SpecificationPublished.v1</w:t>
            </w:r>
          </w:p>
        </w:tc>
        <w:tc>
          <w:tcPr>
            <w:tcW w:type="dxa" w:w="1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Specification</w:t>
            </w:r>
          </w:p>
        </w:tc>
        <w:tc>
          <w:tcPr>
            <w:tcW w:type="dxa" w:w="2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Formulation、Compliance、Notification*</w:t>
            </w:r>
          </w:p>
        </w:tc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已发布规格 + 成分 + 溯源；阶段一触发</w:t>
            </w:r>
          </w:p>
        </w:tc>
      </w:tr>
      <w:tr>
        <w:trPr>
          <w:cantSplit/>
        </w:trPr>
        <w:tc>
          <w:tcPr>
            <w:tcW w:type="dxa" w:w="2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FormulaPublished.v1</w:t>
            </w:r>
          </w:p>
        </w:tc>
        <w:tc>
          <w:tcPr>
            <w:tcW w:type="dxa" w:w="1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Formulation</w:t>
            </w:r>
          </w:p>
        </w:tc>
        <w:tc>
          <w:tcPr>
            <w:tcW w:type="dxa" w:w="2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Compliance、Label Workflow</w:t>
            </w:r>
          </w:p>
        </w:tc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已发布/当前配方投影；阶段二触发</w:t>
            </w:r>
          </w:p>
        </w:tc>
      </w:tr>
      <w:tr>
        <w:trPr>
          <w:cantSplit/>
        </w:trPr>
        <w:tc>
          <w:tcPr>
            <w:tcW w:type="dxa" w:w="2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ImpactFinding.v1</w:t>
            </w:r>
          </w:p>
        </w:tc>
        <w:tc>
          <w:tcPr>
            <w:tcW w:type="dxa" w:w="1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Compliance</w:t>
            </w:r>
          </w:p>
        </w:tc>
        <w:tc>
          <w:tcPr>
            <w:tcW w:type="dxa" w:w="2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Label Workflow、Notification*</w:t>
            </w:r>
          </w:p>
        </w:tc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POTENTIAL/CONFIRMED，NO_ACTION/REVIEW_REQUIRED 及证据</w:t>
            </w:r>
          </w:p>
        </w:tc>
      </w:tr>
      <w:tr>
        <w:trPr>
          <w:cantSplit/>
        </w:trPr>
        <w:tc>
          <w:tcPr>
            <w:tcW w:type="dxa" w:w="2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LabelPublished.v1</w:t>
            </w:r>
          </w:p>
        </w:tc>
        <w:tc>
          <w:tcPr>
            <w:tcW w:type="dxa" w:w="1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Label Workflow</w:t>
            </w:r>
          </w:p>
        </w:tc>
        <w:tc>
          <w:tcPr>
            <w:tcW w:type="dxa" w:w="2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Compliance</w:t>
            </w:r>
          </w:p>
        </w:tc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当前已发布声明投影</w:t>
            </w:r>
          </w:p>
        </w:tc>
      </w:tr>
    </w:tbl>
    <w:p>
      <w:pPr>
        <w:spacing w:before="0" w:after="0" w:line="120" w:lineRule="exact"/>
      </w:pPr>
    </w:p>
    <w:p>
      <w:pPr>
        <w:keepLines w:val="0"/>
        <w:widowControl/>
        <w:spacing w:after="40"/>
      </w:pPr>
      <w:r>
        <w:rPr>
          <w:rFonts w:eastAsia="Noto Sans CJK SC"/>
          <w:b w:val="0"/>
          <w:i w:val="0"/>
        </w:rPr>
        <w:t xml:space="preserve">* Notification 为 Should 项。AuditRecorded.v1 与中央审计只读模型为 Could 项。</w:t>
      </w:r>
    </w:p>
    <w:p>
      <w:pPr>
        <w:pStyle w:val="Heading1"/>
      </w:pPr>
      <w:r>
        <w:rPr>
          <w:rFonts w:eastAsia="Noto Sans CJK SC"/>
        </w:rPr>
        <w:t>7. 云原生物理架构（DigitalOcean）</w:t>
      </w:r>
    </w:p>
    <w:p>
      <w:pPr>
        <w:keepLines w:val="0"/>
        <w:widowControl/>
        <w:spacing w:after="40"/>
      </w:pPr>
      <w:r>
        <w:rPr>
          <w:rFonts w:eastAsia="Noto Sans CJK SC"/>
          <w:b w:val="0"/>
          <w:i w:val="0"/>
        </w:rPr>
        <w:t xml:space="preserve">选择 DigitalOcean 是出于成本：每月费用约为同等 AWS 方案的一半，且符合条件的账号可用 GitHub Student Developer Pack 的额度覆盖。便宜的地方用托管服务（DOKS、Managed MySQL、Load Balancer、Container Registry、App Platform）；网关、身份提供方和消息中间件以开源组件形式通过 operator 在集群内运行，使整套技术栈与本地 Docker Compose 保持一致。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2584323"/>
            <wp:docPr id="2" name="Fig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8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eastAsia="Noto Sans CJK SC"/>
          <w:i/>
          <w:sz w:val="16"/>
        </w:rPr>
        <w:t xml:space="preserve">图 2. DigitalOcean staging 拓扑（SGP1）。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5300"/>
        <w:gridCol w:w="3000"/>
      </w:tblGrid>
      <w:tr>
        <w:trPr>
          <w:cantSplit/>
          <w:tblHeader/>
        </w:trPr>
        <w:tc>
          <w:tcPr>
            <w:tcW w:type="dxa" w:w="18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能力</w:t>
            </w:r>
          </w:p>
        </w:tc>
        <w:tc>
          <w:tcPr>
            <w:tcW w:type="dxa" w:w="53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组件</w:t>
            </w:r>
          </w:p>
        </w:tc>
        <w:tc>
          <w:tcPr>
            <w:tcW w:type="dxa" w:w="30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Staging 规格</w:t>
            </w:r>
          </w:p>
        </w:tc>
      </w:tr>
      <w:tr>
        <w:trPr>
          <w:cantSplit/>
        </w:trPr>
        <w:tc>
          <w:tcPr>
            <w:tcW w:type="dxa" w:w="1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边缘</w:t>
            </w:r>
          </w:p>
        </w:tc>
        <w:tc>
          <w:tcPr>
            <w:tcW w:type="dxa" w:w="5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DO Load Balancer，Let's Encrypt 证书（团队域名托管在 DO DNS）</w:t>
            </w:r>
          </w:p>
        </w:tc>
        <w:tc>
          <w:tcPr>
            <w:tcW w:type="dxa" w:w="3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1 个小型 LB</w:t>
            </w:r>
          </w:p>
        </w:tc>
      </w:tr>
      <w:tr>
        <w:trPr>
          <w:cantSplit/>
        </w:trPr>
        <w:tc>
          <w:tcPr>
            <w:tcW w:type="dxa" w:w="1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API 网关</w:t>
            </w:r>
          </w:p>
        </w:tc>
        <w:tc>
          <w:tcPr>
            <w:tcW w:type="dxa" w:w="5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Spring Cloud Gateway</w:t>
            </w:r>
          </w:p>
        </w:tc>
        <w:tc>
          <w:tcPr>
            <w:tcW w:type="dxa" w:w="3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2 副本</w:t>
            </w:r>
          </w:p>
        </w:tc>
      </w:tr>
      <w:tr>
        <w:trPr>
          <w:cantSplit/>
        </w:trPr>
        <w:tc>
          <w:tcPr>
            <w:tcW w:type="dxa" w:w="1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计算</w:t>
            </w:r>
          </w:p>
        </w:tc>
        <w:tc>
          <w:tcPr>
            <w:tcW w:type="dxa" w:w="5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DOKS（托管控制平面）</w:t>
            </w:r>
          </w:p>
        </w:tc>
        <w:tc>
          <w:tcPr>
            <w:tcW w:type="dxa" w:w="3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general：3 × 2 vCPU/4 GB；compliance：独占 CPU c-2，1–4 个节点</w:t>
            </w:r>
          </w:p>
        </w:tc>
      </w:tr>
      <w:tr>
        <w:trPr>
          <w:cantSplit/>
        </w:trPr>
        <w:tc>
          <w:tcPr>
            <w:tcW w:type="dxa" w:w="1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数据库</w:t>
            </w:r>
          </w:p>
        </w:tc>
        <w:tc>
          <w:tcPr>
            <w:tcW w:type="dxa" w:w="5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DigitalOcean Managed MySQL 8</w:t>
            </w:r>
          </w:p>
        </w:tc>
        <w:tc>
          <w:tcPr>
            <w:tcW w:type="dxa" w:w="3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1 vCPU/2 GB + 备用节点</w:t>
            </w:r>
          </w:p>
        </w:tc>
      </w:tr>
      <w:tr>
        <w:trPr>
          <w:cantSplit/>
        </w:trPr>
        <w:tc>
          <w:tcPr>
            <w:tcW w:type="dxa" w:w="1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消息</w:t>
            </w:r>
          </w:p>
        </w:tc>
        <w:tc>
          <w:tcPr>
            <w:tcW w:type="dxa" w:w="5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RabbitMQ（Cluster Operator + Messaging Topology Operator）</w:t>
            </w:r>
          </w:p>
        </w:tc>
        <w:tc>
          <w:tcPr>
            <w:tcW w:type="dxa" w:w="3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3 节点，quorum 队列</w:t>
            </w:r>
          </w:p>
        </w:tc>
      </w:tr>
      <w:tr>
        <w:trPr>
          <w:cantSplit/>
        </w:trPr>
        <w:tc>
          <w:tcPr>
            <w:tcW w:type="dxa" w:w="1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身份</w:t>
            </w:r>
          </w:p>
        </w:tc>
        <w:tc>
          <w:tcPr>
            <w:tcW w:type="dxa" w:w="5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Keycloak（Keycloak Operator），数据存于 Managed MySQL</w:t>
            </w:r>
          </w:p>
        </w:tc>
        <w:tc>
          <w:tcPr>
            <w:tcW w:type="dxa" w:w="3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1 副本</w:t>
            </w:r>
          </w:p>
        </w:tc>
      </w:tr>
      <w:tr>
        <w:trPr>
          <w:cantSplit/>
        </w:trPr>
        <w:tc>
          <w:tcPr>
            <w:tcW w:type="dxa" w:w="1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密钥</w:t>
            </w:r>
          </w:p>
        </w:tc>
        <w:tc>
          <w:tcPr>
            <w:tcW w:type="dxa" w:w="5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由流水线从 GitHub environment secret 注入的 Kubernetes Secret</w:t>
            </w:r>
          </w:p>
        </w:tc>
        <w:tc>
          <w:tcPr>
            <w:tcW w:type="dxa" w:w="3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绝不进入 Git</w:t>
            </w:r>
          </w:p>
        </w:tc>
      </w:tr>
      <w:tr>
        <w:trPr>
          <w:cantSplit/>
        </w:trPr>
        <w:tc>
          <w:tcPr>
            <w:tcW w:type="dxa" w:w="1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镜像仓库 / 前端</w:t>
            </w:r>
          </w:p>
        </w:tc>
        <w:tc>
          <w:tcPr>
            <w:tcW w:type="dxa" w:w="5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DO Container Registry；App Platform 静态站点</w:t>
            </w:r>
          </w:p>
        </w:tc>
        <w:tc>
          <w:tcPr>
            <w:tcW w:type="dxa" w:w="3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Basic 档；免费档</w:t>
            </w:r>
          </w:p>
        </w:tc>
      </w:tr>
      <w:tr>
        <w:trPr>
          <w:cantSplit/>
        </w:trPr>
        <w:tc>
          <w:tcPr>
            <w:tcW w:type="dxa" w:w="1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可观测性</w:t>
            </w:r>
          </w:p>
        </w:tc>
        <w:tc>
          <w:tcPr>
            <w:tcW w:type="dxa" w:w="5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Grafana Alloy → Grafana Cloud 免费档（指标、日志；追踪为 Should）</w:t>
            </w:r>
          </w:p>
        </w:tc>
        <w:tc>
          <w:tcPr>
            <w:tcW w:type="dxa" w:w="3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保留 14 天</w:t>
            </w:r>
          </w:p>
        </w:tc>
      </w:tr>
      <w:tr>
        <w:trPr>
          <w:cantSplit/>
        </w:trPr>
        <w:tc>
          <w:tcPr>
            <w:tcW w:type="dxa" w:w="1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4"/>
              </w:rPr>
              <w:t xml:space="preserve">IaC / 交付</w:t>
            </w:r>
          </w:p>
        </w:tc>
        <w:tc>
          <w:tcPr>
            <w:tcW w:type="dxa" w:w="5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Terraform + Helm；state 存于 Spaces；GitHub Actions 使用限定权限的 API 令牌</w:t>
            </w:r>
          </w:p>
        </w:tc>
        <w:tc>
          <w:tcPr>
            <w:tcW w:type="dxa" w:w="3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4"/>
              </w:rPr>
              <w:t xml:space="preserve">—</w:t>
            </w:r>
          </w:p>
        </w:tc>
      </w:tr>
    </w:tbl>
    <w:p>
      <w:pPr>
        <w:spacing w:before="0" w:after="0" w:line="120" w:lineRule="exact"/>
      </w:pPr>
    </w:p>
    <w:p>
      <w:pPr>
        <w:keepLines w:val="0"/>
        <w:widowControl/>
        <w:spacing w:after="40"/>
      </w:pPr>
      <w:r>
        <w:rPr>
          <w:rFonts w:eastAsia="Noto Sans CJK SC"/>
          <w:b w:val="0"/>
          <w:i w:val="0"/>
        </w:rPr>
        <w:t xml:space="preserve">按标价估算：每月约 200 美元（每天约 6–7 美元）；staging 从 Gate 1 运行到 Presentation 冻结，预计总费用约 150 美元。限制：DigitalOcean 的区域不提供可用区。</w:t>
      </w:r>
    </w:p>
    <w:p>
      <w:pPr>
        <w:pStyle w:val="Heading1"/>
      </w:pPr>
      <w:r>
        <w:rPr>
          <w:rFonts w:eastAsia="Noto Sans CJK SC"/>
        </w:rPr>
        <w:t>8. 可扩展性、可用性与容量证据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400"/>
        <w:gridCol w:w="4500"/>
      </w:tblGrid>
      <w:tr>
        <w:trPr>
          <w:cantSplit/>
          <w:tblHeader/>
        </w:trPr>
        <w:tc>
          <w:tcPr>
            <w:tcW w:type="dxa" w:w="22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运行</w:t>
            </w:r>
          </w:p>
        </w:tc>
        <w:tc>
          <w:tcPr>
            <w:tcW w:type="dxa" w:w="34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负载</w:t>
            </w:r>
          </w:p>
        </w:tc>
        <w:tc>
          <w:tcPr>
            <w:tcW w:type="dxa" w:w="45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证据</w:t>
            </w:r>
          </w:p>
        </w:tc>
      </w:tr>
      <w:tr>
        <w:trPr>
          <w:cantSplit/>
        </w:trPr>
        <w:tc>
          <w:tcPr>
            <w:tcW w:type="dxa" w:w="2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固定 1 副本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按到达速率逐级加压直到突破 SLO</w:t>
            </w:r>
          </w:p>
        </w:tc>
        <w:tc>
          <w:tcPr>
            <w:tcW w:type="dxa" w:w="4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最大可持续速率、p50/p95、错误率、CPU/内存、MySQL CPU/连接数</w:t>
            </w:r>
          </w:p>
        </w:tc>
      </w:tr>
      <w:tr>
        <w:trPr>
          <w:cantSplit/>
        </w:trPr>
        <w:tc>
          <w:tcPr>
            <w:tcW w:type="dxa" w:w="2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固定 3 副本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同上</w:t>
            </w:r>
          </w:p>
        </w:tc>
        <w:tc>
          <w:tcPr>
            <w:tcW w:type="dxa" w:w="4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同上 + 扩展效率（目标 ≥ 2 倍）</w:t>
            </w:r>
          </w:p>
        </w:tc>
      </w:tr>
      <w:tr>
        <w:trPr>
          <w:cantSplit/>
        </w:trPr>
        <w:tc>
          <w:tcPr>
            <w:tcW w:type="dxa" w:w="2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自动扩缩容（Should）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阶跃到 1 副本无法承受的速率</w:t>
            </w:r>
          </w:p>
        </w:tc>
        <w:tc>
          <w:tcPr>
            <w:tcW w:type="dxa" w:w="4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副本/节点时间线；5 分钟内恢复 SLO</w:t>
            </w:r>
          </w:p>
        </w:tc>
      </w:tr>
      <w:tr>
        <w:trPr>
          <w:cantSplit/>
        </w:trPr>
        <w:tc>
          <w:tcPr>
            <w:tcW w:type="dxa" w:w="2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故障转移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约 3 副本容量的 50%；删除一个 pod</w:t>
            </w:r>
          </w:p>
        </w:tc>
        <w:tc>
          <w:tcPr>
            <w:tcW w:type="dxa" w:w="4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错误率 &lt; 1%，连续出错 ≤ 10 秒，60 秒内 p95 恢复，替补 &lt; 3 分钟</w:t>
            </w:r>
          </w:p>
        </w:tc>
      </w:tr>
    </w:tbl>
    <w:p>
      <w:pPr>
        <w:spacing w:before="0" w:after="0" w:line="120" w:lineRule="exact"/>
      </w:pPr>
    </w:p>
    <w:p>
      <w:pPr>
        <w:pStyle w:val="ListBullet"/>
        <w:spacing w:after="22"/>
        <w:ind w:left="255" w:hanging="102"/>
      </w:pPr>
      <w:r>
        <w:rPr>
          <w:rFonts w:eastAsia="Noto Sans CJK SC"/>
          <w:b w:val="0"/>
          <w:i w:val="0"/>
        </w:rPr>
        <w:t xml:space="preserve">负载对象：基于本地投影和内存不可变版本的影响预览 API；验证写入单独测量；数据集约 20 家制造商、5,000 个配方版本。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 w:val="0"/>
          <w:i w:val="0"/>
        </w:rPr>
        <w:t xml:space="preserve">每副本限制 1 vCPU/2 GiB，运行在独占 CPU 节点池；k6 从 SGP1 的独立 droplet 发起。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 w:val="0"/>
          <w:i w:val="0"/>
        </w:rPr>
        <w:t xml:space="preserve">目标预先声明、事后绝不放宽；未达标时报告瓶颈位置。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 w:val="0"/>
          <w:i w:val="0"/>
        </w:rPr>
        <w:t xml:space="preserve">策略：就绪探针、副本分散到不同节点、负载均衡、MySQL 备用节点切换、RabbitMQ quorum 队列 + 死信队列、超时、熔断、有上限的副本数和连接池。</w:t>
      </w:r>
    </w:p>
    <w:p>
      <w:pPr>
        <w:pStyle w:val="Heading1"/>
      </w:pPr>
      <w:r>
        <w:rPr>
          <w:rFonts w:eastAsia="Noto Sans CJK SC"/>
        </w:rPr>
        <w:t>9. 安全架构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7300"/>
      </w:tblGrid>
      <w:tr>
        <w:trPr>
          <w:cantSplit/>
          <w:tblHeader/>
        </w:trPr>
        <w:tc>
          <w:tcPr>
            <w:tcW w:type="dxa" w:w="28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威胁</w:t>
            </w:r>
          </w:p>
        </w:tc>
        <w:tc>
          <w:tcPr>
            <w:tcW w:type="dxa" w:w="73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最低控制</w:t>
            </w:r>
          </w:p>
        </w:tc>
      </w:tr>
      <w:tr>
        <w:trPr>
          <w:cantSplit/>
        </w:trPr>
        <w:tc>
          <w:tcPr>
            <w:tcW w:type="dxa" w:w="2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未授权的生产者变更</w:t>
            </w:r>
          </w:p>
        </w:tc>
        <w:tc>
          <w:tcPr>
            <w:tcW w:type="dxa" w:w="7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供应商角色 + 组织归属 + 审计</w:t>
            </w:r>
          </w:p>
        </w:tc>
      </w:tr>
      <w:tr>
        <w:trPr>
          <w:cantSplit/>
        </w:trPr>
        <w:tc>
          <w:tcPr>
            <w:tcW w:type="dxa" w:w="2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跨制造商数据泄漏</w:t>
            </w:r>
          </w:p>
        </w:tc>
        <w:tc>
          <w:tcPr>
            <w:tcW w:type="dxa" w:w="7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每个读取 API 都做组织检查；不共享数据库访问</w:t>
            </w:r>
          </w:p>
        </w:tc>
      </w:tr>
      <w:tr>
        <w:trPr>
          <w:cantSplit/>
        </w:trPr>
        <w:tc>
          <w:tcPr>
            <w:tcW w:type="dxa" w:w="2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伪造/重复事件</w:t>
            </w:r>
          </w:p>
        </w:tc>
        <w:tc>
          <w:tcPr>
            <w:tcW w:type="dxa" w:w="7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每服务独立的 RabbitMQ 用户和权限；eventId + 聚合版本；幂等消费</w:t>
            </w:r>
          </w:p>
        </w:tc>
      </w:tr>
      <w:tr>
        <w:trPr>
          <w:cantSplit/>
        </w:trPr>
        <w:tc>
          <w:tcPr>
            <w:tcW w:type="dxa" w:w="2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绕过网关</w:t>
            </w:r>
          </w:p>
        </w:tc>
        <w:tc>
          <w:tcPr>
            <w:tcW w:type="dxa" w:w="7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服务只暴露 ClusterIP；默认拒绝的 NetworkPolicy；只放行网关和 label-workflow → compliance</w:t>
            </w:r>
          </w:p>
        </w:tc>
      </w:tr>
      <w:tr>
        <w:trPr>
          <w:cantSplit/>
        </w:trPr>
        <w:tc>
          <w:tcPr>
            <w:tcW w:type="dxa" w:w="2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密钥泄漏</w:t>
            </w:r>
          </w:p>
        </w:tc>
        <w:tc>
          <w:tcPr>
            <w:tcW w:type="dxa" w:w="7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Git 中不存密钥；由流水线注入 Kubernetes Secret；密钥扫描；限定权限、会过期的令牌</w:t>
            </w:r>
          </w:p>
        </w:tc>
      </w:tr>
      <w:tr>
        <w:trPr>
          <w:cantSplit/>
        </w:trPr>
        <w:tc>
          <w:tcPr>
            <w:tcW w:type="dxa" w:w="2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过载/滥用</w:t>
            </w:r>
          </w:p>
        </w:tc>
        <w:tc>
          <w:tcPr>
            <w:tcW w:type="dxa" w:w="7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网关限流与请求体大小限制；副本数有上限</w:t>
            </w:r>
          </w:p>
        </w:tc>
      </w:tr>
    </w:tbl>
    <w:p>
      <w:pPr>
        <w:spacing w:before="0" w:after="0" w:line="120" w:lineRule="exact"/>
      </w:pPr>
    </w:p>
    <w:p>
      <w:pPr>
        <w:keepLines w:val="0"/>
        <w:widowControl/>
        <w:spacing w:after="40"/>
      </w:pPr>
      <w:r>
        <w:rPr>
          <w:rFonts w:eastAsia="Noto Sans CJK SC"/>
          <w:b w:val="0"/>
          <w:i w:val="0"/>
        </w:rPr>
        <w:t xml:space="preserve">Keycloak 签发的令牌包含 org_id、org_type 和角色（React 客户端使用授权码 + PKCE）。遗留的 X-Auth-Provider / X-External-Subject 接缝只在本地/测试配置中启用。</w:t>
      </w:r>
    </w:p>
    <w:p>
      <w:pPr>
        <w:pStyle w:val="Heading1"/>
      </w:pPr>
      <w:r>
        <w:rPr>
          <w:rFonts w:eastAsia="Noto Sans CJK SC"/>
        </w:rPr>
        <w:t>10. 平台工程与 Golden Path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8000"/>
      </w:tblGrid>
      <w:tr>
        <w:trPr>
          <w:cantSplit/>
          <w:tblHeader/>
        </w:trPr>
        <w:tc>
          <w:tcPr>
            <w:tcW w:type="dxa" w:w="21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平面</w:t>
            </w:r>
          </w:p>
        </w:tc>
        <w:tc>
          <w:tcPr>
            <w:tcW w:type="dxa" w:w="80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SpecTrace-CN 实现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Developer Control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服务 Starter、仓库模板、Helm Chart 模板、文档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Integration &amp; Delivery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可复用 GitHub Actions 工作流、测试/扫描关口、DO Container Registry、Helm 部署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Resource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通过 Terraform 和 operator 管理的 DOKS、Managed MySQL、RabbitMQ、Keycloak、Load Balancer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Observability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Grafana Alloy，以及 Grafana Cloud 上的 SLO、扩展和故障转移仪表盘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Security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Keycloak、RBAC/组织检查、NetworkPolicy、密钥注入、扫描器</w:t>
            </w:r>
          </w:p>
        </w:tc>
      </w:tr>
    </w:tbl>
    <w:p>
      <w:pPr>
        <w:spacing w:before="0" w:after="0" w:line="120" w:lineRule="exact"/>
      </w:pPr>
    </w:p>
    <w:p>
      <w:pPr>
        <w:keepLines w:val="0"/>
        <w:widowControl/>
        <w:spacing w:after="40"/>
      </w:pPr>
      <w:r>
        <w:rPr>
          <w:rFonts w:eastAsia="Noto Sans CJK SC"/>
          <w:b w:val="0"/>
          <w:i w:val="0"/>
        </w:rPr>
        <w:t xml:space="preserve">Golden Path 默认能力：健康/就绪检查、统一 API 错误、JWT + 组织上下文、贯穿 HTTP 和事件的关联 ID、结构化日志、指标、outbox 与幂等消费支持、Testcontainers（MySQL、RabbitMQ）与契约测试辅助、Dockerfile、CI 工作流、带探针/NetworkPolicy/HPA 的 Helm Chart。不得包含领域实体、DTO、Repository 或业务规则。复用证据（Should）：合作伙伴客户端接入，以及 Notification 从 Starter 到部署至 staging，记录耗时和人工步骤。</w:t>
      </w:r>
    </w:p>
    <w:p>
      <w:pPr>
        <w:pStyle w:val="Heading1"/>
      </w:pPr>
      <w:r>
        <w:rPr>
          <w:rFonts w:eastAsia="Noto Sans CJK SC"/>
        </w:rPr>
        <w:t>11. DevSecOps 证据流水线</w:t>
      </w:r>
    </w:p>
    <w:p>
      <w:pPr>
        <w:keepNext/>
        <w:spacing w:before="0" w:after="0"/>
        <w:ind w:left="170"/>
      </w:pPr>
      <w:r>
        <w:rPr>
          <w:rFonts w:ascii="Courier New" w:hAnsi="Courier New" w:eastAsia="Noto Sans CJK SC"/>
          <w:sz w:val="15"/>
        </w:rPr>
        <w:t xml:space="preserve">构建 -&gt; 单元测试 -&gt; Testcontainers 集成测试（MySQL、RabbitMQ）-&gt; OpenAPI/JSON Schema 契约测试</w:t>
      </w:r>
    </w:p>
    <w:p>
      <w:pPr>
        <w:keepNext/>
        <w:spacing w:before="0" w:after="0"/>
        <w:ind w:left="170"/>
      </w:pPr>
      <w:r>
        <w:rPr>
          <w:rFonts w:ascii="Courier New" w:hAnsi="Courier New" w:eastAsia="Noto Sans CJK SC"/>
          <w:sz w:val="15"/>
        </w:rPr>
        <w:t xml:space="preserve">-&gt; 架构测试 -&gt; 前端/Playwright（适用时）-&gt; JaCoCo/Sonar -&gt; OWASP Dependency-Check + Trivy</w:t>
      </w:r>
    </w:p>
    <w:p>
      <w:pPr>
        <w:keepNext/>
        <w:spacing w:before="0" w:after="60"/>
        <w:ind w:left="170"/>
      </w:pPr>
      <w:r>
        <w:rPr>
          <w:rFonts w:ascii="Courier New" w:hAnsi="Courier New" w:eastAsia="Noto Sans CJK SC"/>
          <w:sz w:val="15"/>
        </w:rPr>
        <w:t xml:space="preserve">-&gt; 推送镜像到 DO Container Registry（tag = commit SHA）-&gt; helm upgrade 到 DOKS staging -&gt; 经网关冒烟测试</w:t>
      </w:r>
    </w:p>
    <w:p>
      <w:pPr>
        <w:keepLines w:val="0"/>
        <w:widowControl/>
        <w:spacing w:after="40"/>
      </w:pPr>
      <w:r>
        <w:rPr>
          <w:rFonts w:eastAsia="Noto Sans CJK SC"/>
          <w:b w:val="0"/>
          <w:i w:val="0"/>
        </w:rPr>
        <w:t xml:space="preserve">工作流可复用，并按服务路径触发。每项证据都绑定 commit SHA 和镜像 digest。阻塞性检查一律不使用 continue-on-error。</w:t>
      </w:r>
    </w:p>
    <w:p>
      <w:pPr>
        <w:pStyle w:val="Heading1"/>
      </w:pPr>
      <w:r>
        <w:rPr>
          <w:rFonts w:eastAsia="Noto Sans CJK SC"/>
        </w:rPr>
        <w:t>12. 从 main@a3520e1 开始的迁移计划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500"/>
        <w:gridCol w:w="6000"/>
      </w:tblGrid>
      <w:tr>
        <w:trPr>
          <w:cantSplit/>
          <w:tblHeader/>
        </w:trPr>
        <w:tc>
          <w:tcPr>
            <w:tcW w:type="dxa" w:w="26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Gate</w:t>
            </w:r>
          </w:p>
        </w:tc>
        <w:tc>
          <w:tcPr>
            <w:tcW w:type="dxa" w:w="15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时间</w:t>
            </w:r>
          </w:p>
        </w:tc>
        <w:tc>
          <w:tcPr>
            <w:tcW w:type="dxa" w:w="60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必须达到的结果</w:t>
            </w:r>
          </w:p>
        </w:tc>
      </w:tr>
      <w:tr>
        <w:trPr>
          <w:cantSplit/>
        </w:trPr>
        <w:tc>
          <w:tcPr>
            <w:tcW w:type="dxa" w:w="26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Gate 0 – 基线与架构</w:t>
            </w:r>
          </w:p>
        </w:tc>
        <w:tc>
          <w:tcPr>
            <w:tcW w:type="dxa" w:w="1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22 Sep – 7 Oct</w:t>
            </w:r>
          </w:p>
        </w:tc>
        <w:tc>
          <w:tcPr>
            <w:tcW w:type="dxa" w:w="6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标记 a3520e1；重跑基线测试；契约 v1；测试计划；Terraform 试搭后销毁</w:t>
            </w:r>
          </w:p>
        </w:tc>
      </w:tr>
      <w:tr>
        <w:trPr>
          <w:cantSplit/>
        </w:trPr>
        <w:tc>
          <w:tcPr>
            <w:tcW w:type="dxa" w:w="26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Gate 1 – 平台骨架</w:t>
            </w:r>
          </w:p>
        </w:tc>
        <w:tc>
          <w:tcPr>
            <w:tcW w:type="dxa" w:w="1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8 – 11 Oct</w:t>
            </w:r>
          </w:p>
        </w:tc>
        <w:tc>
          <w:tcPr>
            <w:tcW w:type="dxa" w:w="6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Starter；Spring Cloud Gateway + Keycloak；DOKS、Managed MySQL、RabbitMQ；CI 能部署每个服务的骨架</w:t>
            </w:r>
          </w:p>
        </w:tc>
      </w:tr>
      <w:tr>
        <w:trPr>
          <w:cantSplit/>
        </w:trPr>
        <w:tc>
          <w:tcPr>
            <w:tcW w:type="dxa" w:w="26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Gate 2 – 服务</w:t>
            </w:r>
          </w:p>
        </w:tc>
        <w:tc>
          <w:tcPr>
            <w:tcW w:type="dxa" w:w="1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12 – 16 Oct</w:t>
            </w:r>
          </w:p>
        </w:tc>
        <w:tc>
          <w:tcPr>
            <w:tcW w:type="dxa" w:w="6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四个服务使用独立数据库；组织模型；标签存储过程重写完成；工作流 API 与界面；事件链路打通；等价性测试通过</w:t>
            </w:r>
          </w:p>
        </w:tc>
      </w:tr>
      <w:tr>
        <w:trPr>
          <w:cantSplit/>
        </w:trPr>
        <w:tc>
          <w:tcPr>
            <w:tcW w:type="dxa" w:w="26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Gate 3 – 影响分析与证据</w:t>
            </w:r>
          </w:p>
        </w:tc>
        <w:tc>
          <w:tcPr>
            <w:tcW w:type="dxa" w:w="1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17 – 20 Oct</w:t>
            </w:r>
          </w:p>
        </w:tc>
        <w:tc>
          <w:tcPr>
            <w:tcW w:type="dxa" w:w="6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两阶段影响分析在 staging 跑通；负载与故障转移实验；Gate 1–2 达标后启动 Should 项</w:t>
            </w:r>
          </w:p>
        </w:tc>
      </w:tr>
      <w:tr>
        <w:trPr>
          <w:cantSplit/>
        </w:trPr>
        <w:tc>
          <w:tcPr>
            <w:tcW w:type="dxa" w:w="26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冻结</w:t>
            </w:r>
          </w:p>
        </w:tc>
        <w:tc>
          <w:tcPr>
            <w:tcW w:type="dxa" w:w="1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21 – 26 Oct</w:t>
            </w:r>
          </w:p>
        </w:tc>
        <w:tc>
          <w:tcPr>
            <w:tcW w:type="dxa" w:w="6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回归测试、最终实测、演示彩排、Presentation；之后销毁 staging</w:t>
            </w:r>
          </w:p>
        </w:tc>
      </w:tr>
    </w:tbl>
    <w:p>
      <w:pPr>
        <w:spacing w:before="0" w:after="0" w:line="120" w:lineRule="exact"/>
      </w:pPr>
    </w:p>
    <w:p>
      <w:pPr>
        <w:keepLines w:val="0"/>
        <w:widowControl/>
        <w:spacing w:after="40"/>
      </w:pPr>
      <w:r>
        <w:rPr>
          <w:rFonts w:eastAsia="Noto Sans CJK SC"/>
          <w:b w:val="0"/>
          <w:i w:val="0"/>
        </w:rPr>
        <w:t xml:space="preserve">范围分级：Must 46 人日，Should 4 人日（自动扩缩容、合作伙伴客户端、Notification、分布式追踪），Could 超出预算（中央审计只读模型、事件突发测试、消费者驱动契约测试）。单体只作为回归判定基准保留。</w:t>
      </w:r>
    </w:p>
    <w:p>
      <w:pPr>
        <w:pStyle w:val="Heading1"/>
      </w:pPr>
      <w:r>
        <w:rPr>
          <w:rFonts w:eastAsia="Noto Sans CJK SC"/>
        </w:rPr>
        <w:t>13. 验收矩阵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8000"/>
      </w:tblGrid>
      <w:tr>
        <w:trPr>
          <w:cantSplit/>
          <w:tblHeader/>
        </w:trPr>
        <w:tc>
          <w:tcPr>
            <w:tcW w:type="dxa" w:w="21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关注点</w:t>
            </w:r>
          </w:p>
        </w:tc>
        <w:tc>
          <w:tcPr>
            <w:tcW w:type="dxa" w:w="80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最低证据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业务等价性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基线 fixtures 在版本化、推导、验证、maker-checker 和发布上全部通过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边界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无跨服务持久化访问；各自的迁移、用户和授权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契约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OpenAPI + JSON Schema 校验；统一错误封装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一致性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outbox 原子性；重复和过期事件的处理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平台交互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发布 → POTENTIAL → 采用 → CONFIRMED → 审核 → 发布，端到端跑通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租户隔离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跨组织访问被拒绝（403）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可扩展性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满足 SLO 时 1 副本对 3 副本（+ 自动扩缩容，Should）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可用性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删除 pod 后满足预先声明的目标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安全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401/403 测试、NetworkPolicy 检查、密钥扫描、Trivy/OWASP 关口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可观测性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关联 ID 贯穿网关、服务和事件；实验使用的指标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rPr>
          <w:rFonts w:eastAsia="Noto Sans CJK SC"/>
        </w:rPr>
        <w:t>14. 课程要求追溯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8000"/>
      </w:tblGrid>
      <w:tr>
        <w:trPr>
          <w:cantSplit/>
          <w:tblHeader/>
        </w:trPr>
        <w:tc>
          <w:tcPr>
            <w:tcW w:type="dxa" w:w="21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SWE5001 要求</w:t>
            </w:r>
          </w:p>
        </w:tc>
        <w:tc>
          <w:tcPr>
            <w:tcW w:type="dxa" w:w="80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架构响应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业务生态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Seed / Producer / Consumer + Magnet / Toolbox / Matchmaker；两阶段交互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可复用平台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领域 API/事件、Keycloak、Notification（Should）、Starter / Golden Path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可扩展性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Compliance 独立横向扩展，固定 CPU + 开放模型实验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云原生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服务容器化运行在 DOKS；托管 LB、MySQL、镜像仓库；operator；自动扩缩容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DevOps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可复用 GitHub Actions、Helm 模板、Terraform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安全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Keycloak OIDC/JWT、RBAC + 组织检查、TLS、NetworkPolicy、每服务独立凭据、扫描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应用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React 参考消费方；合作伙伴客户端（Should）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收益证明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扩展/故障转移指标；接入测量（Should）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/>
                <w:sz w:val="15"/>
              </w:rPr>
              <w:t xml:space="preserve">工作量边界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Noto Sans CJK SC"/>
                <w:b w:val="0"/>
                <w:sz w:val="15"/>
              </w:rPr>
              <w:t xml:space="preserve">Must 46 + Should 4 人日；四个领域服务；一个 Seed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rPr>
          <w:rFonts w:eastAsia="Noto Sans CJK SC"/>
        </w:rPr>
        <w:t>15. 关键权衡 / 明确限制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 w:val="0"/>
          <w:i w:val="0"/>
        </w:rPr>
        <w:t xml:space="preserve">四个领域服务，而不是每个旧模块拆一个服务：足够独立，又不会让部署失控。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 w:val="0"/>
          <w:i w:val="0"/>
        </w:rPr>
        <w:t xml:space="preserve">一个 Managed MySQL 集群上每服务一个数据库：以低成本保留数据归属，但共享同一故障域。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 w:val="0"/>
          <w:i w:val="0"/>
        </w:rPr>
        <w:t xml:space="preserve">跨服务最终一致：不引入分布式事务；投影延迟可测量、可见。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 w:val="0"/>
          <w:i w:val="0"/>
        </w:rPr>
        <w:t xml:space="preserve">保留一个同步验证依赖：审核前即时把关；超时或熔断时一律按未通过处理。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 w:val="0"/>
          <w:i w:val="0"/>
        </w:rPr>
        <w:t xml:space="preserve">DigitalOcean + 集群内网关、Keycloak 和 RabbitMQ：成本约为 AWS 的一半，本地环境完全一致；代价是运维工作更多、没有可用区、没有托管密钥服务。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 w:val="0"/>
          <w:i w:val="0"/>
        </w:rPr>
        <w:t xml:space="preserve">配料词表归 Specification：依赖单向；Compliance 必须显式暴露 UNRESOLVED 配料。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 w:val="0"/>
          <w:i w:val="0"/>
        </w:rPr>
        <w:t xml:space="preserve">内存缓存不可变版本：让 Compliance 以计算为主；严格依赖 BR-01。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 w:val="0"/>
          <w:i w:val="0"/>
        </w:rPr>
        <w:t xml:space="preserve">不在范围内：法规法律认证、多可用区/多区域高可用、exactly-once 投递、Saga、零停机生产迁移、规则市场。</w:t>
      </w:r>
    </w:p>
    <w:p>
      <w:pPr>
        <w:pStyle w:val="Heading1"/>
      </w:pPr>
      <w:r>
        <w:rPr>
          <w:rFonts w:eastAsia="Noto Sans CJK SC"/>
        </w:rPr>
        <w:t>16. 最终架构验收条件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 w:val="0"/>
          <w:i w:val="0"/>
        </w:rPr>
        <w:t xml:space="preserve">围绕“版本化供应商物料规格”这一 Seed 的两阶段供需交互可端到端演示。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 w:val="0"/>
          <w:i w:val="0"/>
        </w:rPr>
        <w:t xml:space="preserve">四个限界上下文服务在 DOKS 上独立部署，只通过契约和事件集成。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 w:val="0"/>
          <w:i w:val="0"/>
        </w:rPr>
        <w:t xml:space="preserve">BR-01..BR-10 得到保留，BR-11 得到执行，所有调整均有记录。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 w:val="0"/>
          <w:i w:val="0"/>
        </w:rPr>
        <w:t xml:space="preserve">DigitalOcean staging 包含负载均衡、网关、托管 Kubernetes 与 MySQL、RabbitMQ、Keycloak 和可观测性能力。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 w:val="0"/>
          <w:i w:val="0"/>
        </w:rPr>
        <w:t xml:space="preserve">Compliance 横向扩展和一次故障转移测试均按预先声明的目标实测。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 w:val="0"/>
          <w:i w:val="0"/>
        </w:rPr>
        <w:t xml:space="preserve">DevSecOps 证据绑定到 commit SHA 和镜像 digest。</w:t>
      </w:r>
    </w:p>
    <w:p>
      <w:pPr>
        <w:pStyle w:val="ListBullet"/>
        <w:spacing w:after="22"/>
        <w:ind w:left="255" w:hanging="102"/>
      </w:pPr>
      <w:r>
        <w:rPr>
          <w:rFonts w:eastAsia="Noto Sans CJK SC"/>
          <w:b w:val="0"/>
          <w:i w:val="0"/>
        </w:rPr>
        <w:t xml:space="preserve">任何未经证明的能力都作为限制明确报告，而不是通过架构图暗示已经实现。</w:t>
      </w:r>
    </w:p>
    <w:sectPr w:rsidR="00FC693F" w:rsidRPr="0006063C" w:rsidSect="00034616">
      <w:footerReference w:type="default" r:id="rId9"/>
      <w:pgSz w:w="11906" w:h="16838"/>
      <w:pgMar w:top="822" w:right="879" w:bottom="765" w:left="879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" w:line="240" w:lineRule="auto"/>
    </w:pPr>
    <w:rPr>
      <w:rFonts w:ascii="Arial" w:hAnsi="Arial" w:eastAsia="Noto Sans CJK SC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50"/>
      <w:outlineLvl w:val="0"/>
    </w:pPr>
    <w:rPr>
      <w:rFonts w:asciiTheme="majorHAnsi" w:eastAsiaTheme="majorEastAsia" w:hAnsiTheme="majorHAnsi" w:cstheme="majorBidi" w:ascii="Arial" w:hAnsi="Arial" w:eastAsia="SimHe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0"/>
      <w:outlineLvl w:val="1"/>
    </w:pPr>
    <w:rPr>
      <w:rFonts w:asciiTheme="majorHAnsi" w:eastAsiaTheme="majorEastAsia" w:hAnsiTheme="majorHAnsi" w:cstheme="majorBidi" w:ascii="Arial" w:hAnsi="Arial" w:eastAsia="SimHei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50"/>
      <w:outlineLvl w:val="2"/>
    </w:pPr>
    <w:rPr>
      <w:rFonts w:asciiTheme="majorHAnsi" w:eastAsiaTheme="majorEastAsia" w:hAnsiTheme="majorHAnsi" w:cstheme="majorBidi" w:ascii="Arial" w:hAnsi="Arial" w:eastAsia="SimHei"/>
      <w:b/>
      <w:bCs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50" w:line="240" w:lineRule="auto" w:before="100"/>
      <w:contextualSpacing/>
    </w:pPr>
    <w:rPr>
      <w:rFonts w:asciiTheme="majorHAnsi" w:eastAsiaTheme="majorEastAsia" w:hAnsiTheme="majorHAnsi" w:cstheme="majorBidi" w:ascii="Arial" w:hAnsi="Arial" w:eastAsia="SimHe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