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40"/>
      </w:pPr>
      <w:r>
        <w:rPr>
          <w:rFonts w:ascii="Arial" w:hAnsi="Arial" w:eastAsia="SimHei"/>
          <w:b/>
          <w:sz w:val="38"/>
        </w:rPr>
        <w:t>Project Proposal</w:t>
      </w:r>
    </w:p>
    <w:p>
      <w:pPr>
        <w:keepLines w:val="0"/>
        <w:widowControl/>
      </w:pPr>
      <w:r>
        <w:rPr>
          <w:b/>
          <w:i w:val="0"/>
        </w:rPr>
        <w:t xml:space="preserve">1. Project Title: SpecTrace-CN – Cloud-Native Microservices Platform for Food Traceability and Compliance</w:t>
      </w:r>
    </w:p>
    <w:p>
      <w:pPr>
        <w:keepLines w:val="0"/>
        <w:widowControl/>
      </w:pPr>
      <w:r>
        <w:rPr>
          <w:b/>
          <w:i w:val="0"/>
        </w:rPr>
        <w:t xml:space="preserve">2. Project Sponsor: N/A</w:t>
      </w:r>
    </w:p>
    <w:p>
      <w:pPr>
        <w:keepLines w:val="0"/>
        <w:widowControl/>
      </w:pPr>
      <w:r>
        <w:rPr>
          <w:b/>
          <w:i w:val="0"/>
        </w:rPr>
        <w:t xml:space="preserve">3. Project Members</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00"/>
        <w:gridCol w:w="6700"/>
      </w:tblGrid>
      <w:tr>
        <w:trPr>
          <w:cantSplit/>
          <w:tblHeader/>
        </w:trPr>
        <w:tc>
          <w:tcPr>
            <w:tcW w:type="dxa" w:w="3400"/>
            <w:shd w:val="clear" w:color="auto" w:fill="EEEEEE"/>
            <w:tcMar>
              <w:top w:w="30" w:type="dxa"/>
              <w:start w:w="60" w:type="dxa"/>
              <w:bottom w:w="30" w:type="dxa"/>
              <w:end w:w="60" w:type="dxa"/>
            </w:tcMar>
            <w:vAlign w:val="center"/>
          </w:tcPr>
          <w:p>
            <w:pPr>
              <w:spacing w:before="0" w:after="0"/>
            </w:pPr>
            <w:r>
              <w:rPr>
                <w:rFonts w:ascii="Arial" w:hAnsi="Arial" w:eastAsia="SimSun"/>
                <w:b/>
                <w:sz w:val="17"/>
              </w:rPr>
              <w:t xml:space="preserve">Name</w:t>
            </w:r>
          </w:p>
        </w:tc>
        <w:tc>
          <w:tcPr>
            <w:tcW w:type="dxa" w:w="6700"/>
            <w:shd w:val="clear" w:color="auto" w:fill="EEEEEE"/>
            <w:tcMar>
              <w:top w:w="30" w:type="dxa"/>
              <w:start w:w="60" w:type="dxa"/>
              <w:bottom w:w="30" w:type="dxa"/>
              <w:end w:w="60" w:type="dxa"/>
            </w:tcMar>
            <w:vAlign w:val="center"/>
          </w:tcPr>
          <w:p>
            <w:pPr>
              <w:spacing w:before="0" w:after="0"/>
            </w:pPr>
            <w:r>
              <w:rPr>
                <w:rFonts w:ascii="Arial" w:hAnsi="Arial" w:eastAsia="SimSun"/>
                <w:b/>
                <w:sz w:val="17"/>
              </w:rPr>
              <w:t xml:space="preserve">Email</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Huang Xiangjia</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xiangjia.huang@u.nus.edu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Cai Runchen</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runchencai@u.nus.edu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Xu Feiyang</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feiyangxu@u.nus.edu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Zhu Wenyu</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wenyu.zhu@u.nus.edu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SimSun"/>
                <w:b w:val="0"/>
                <w:sz w:val="17"/>
              </w:rPr>
              <w:t xml:space="preserve">Sun Huajian</w:t>
            </w:r>
          </w:p>
        </w:tc>
        <w:tc>
          <w:tcPr>
            <w:tcW w:type="dxa" w:w="6700"/>
            <w:tcMar>
              <w:top w:w="30" w:type="dxa"/>
              <w:start w:w="60" w:type="dxa"/>
              <w:bottom w:w="30" w:type="dxa"/>
              <w:end w:w="60" w:type="dxa"/>
            </w:tcMar>
            <w:vAlign w:val="center"/>
          </w:tcPr>
          <w:p>
            <w:pPr>
              <w:spacing w:before="0" w:after="0"/>
            </w:pPr>
            <w:r>
              <w:rPr>
                <w:rFonts w:ascii="Arial" w:hAnsi="Arial" w:eastAsia="SimSun"/>
                <w:b w:val="0"/>
                <w:sz w:val="17"/>
              </w:rPr>
              <w:t xml:space="preserve">shjshjshj@u.nus.edu</w:t>
            </w:r>
          </w:p>
        </w:tc>
      </w:tr>
    </w:tbl>
    <w:p>
      <w:pPr>
        <w:spacing w:before="0" w:after="0" w:line="120" w:lineRule="exact"/>
      </w:pPr>
    </w:p>
    <w:p>
      <w:pPr>
        <w:pStyle w:val="Heading1"/>
      </w:pPr>
      <w:r>
        <w:rPr/>
        <w:t>4. Overview</w:t>
      </w:r>
    </w:p>
    <w:p>
      <w:pPr>
        <w:keepLines w:val="0"/>
        <w:widowControl/>
        <w:spacing w:after="40"/>
      </w:pPr>
      <w:r>
        <w:rPr>
          <w:b w:val="0"/>
          <w:i w:val="0"/>
        </w:rPr>
        <w:t xml:space="preserve">Food manufacturers depend on material specifications from many ingredient suppliers. When a supplier changes a material, for example by issuing a new soy-lecithin specification with different components, every manufacturer that uses it must work out which formulas and published labels are affected, re-check allergens and re-approve labels. Today this exchange runs on e-mail and spreadsheets, and each manufacturer rebuilds the same allergen, traceability and label-approval logic, security and audit on its own. Ecosystem growth therefore multiplies cost and produces inconsistent controls.</w:t>
      </w:r>
    </w:p>
    <w:p>
      <w:pPr>
        <w:keepLines w:val="0"/>
        <w:widowControl/>
        <w:spacing w:after="40"/>
      </w:pPr>
      <w:r>
        <w:rPr>
          <w:b w:val="0"/>
          <w:i w:val="0"/>
        </w:rPr>
        <w:t xml:space="preserve">SpecTrace-CN turns this into a two-sided platform on DigitalOcean. A supplier publishes a versioned specification once; the platform matches it to the manufacturers' formulas it affects, tells each manufacturer whether its allergen conclusion changes (NO_ACTION or REVIEW_REQUIRED, with version evidence), and routes the required label work through validation, maker-checker approval and publication. These capabilities are delivered as independently deployable microservices with stable APIs and events, so new consumer applications and new services reuse them instead of rebuilding them.</w:t>
      </w:r>
    </w:p>
    <w:p>
      <w:pPr>
        <w:keepLines w:val="0"/>
        <w:widowControl/>
        <w:spacing w:after="40"/>
      </w:pPr>
      <w:r>
        <w:rPr>
          <w:b w:val="0"/>
          <w:i w:val="0"/>
        </w:rPr>
        <w:t xml:space="preserve">The project targets four outcomes: (1) a working Producer–Consumer interaction around one business Seed; (2) reusable domain services and engineering assets rather than application-specific code; (3) independent, measured scale-out of the compute-heavy Compliance capability; and (4) a secure Golden Path that measurably reduces the effort to add a service or a consumer.</w:t>
      </w:r>
    </w:p>
    <w:p>
      <w:pPr>
        <w:keepLines w:val="0"/>
        <w:widowControl/>
        <w:spacing w:after="40"/>
      </w:pPr>
      <w:r>
        <w:rPr>
          <w:b/>
          <w:i w:val="0"/>
        </w:rPr>
        <w:t xml:space="preserve">Starting point.</w:t>
      </w:r>
      <w:r>
        <w:rPr>
          <w:b w:val="0"/>
          <w:i w:val="0"/>
        </w:rPr>
        <w:t xml:space="preserve"> The team re-architects its SWE5006 system, SpecTrace, frozen at main commit a3520e1 (25 Sep 2026): a Java 21 Spring Boot modular monolith with React/TypeScript, Spring JDBC + Flyway + MySQL, Docker Compose and a GitHub Actions pipeline (Testcontainers, Playwright, JaCoCo/Sonar, Trivy, OWASP Dependency-Check). Implemented and tested: versioned supplier, material, specification, product and formula data with release; header-based development identity with database RBAC; label drafts with structured declarations; version-bound derived allergens; and validation runs through REST. Not yet available, and therefore in scope: (a) label review, approval and publication exist only as MySQL stored procedures with embedded RBAC and audit writes, with no API or UI; (b) change-impact analysis exists only as schema tables; (c) there is no organisation model to separate suppliers from manufacturers; (d) many foreign keys and two procedures cross the future service boundaries; and (e) there is no cloud environment.</w:t>
      </w:r>
    </w:p>
    <w:p>
      <w:pPr>
        <w:pStyle w:val="Heading1"/>
      </w:pPr>
      <w:r>
        <w:rPr/>
        <w:t>5. General Architecture</w:t>
      </w:r>
    </w:p>
    <w:p>
      <w:pPr>
        <w:keepLines w:val="0"/>
        <w:widowControl/>
        <w:spacing w:after="40"/>
      </w:pPr>
      <w:r>
        <w:rPr>
          <w:b w:val="0"/>
          <w:i w:val="0"/>
        </w:rPr>
        <w:t xml:space="preserve">SpecTrace-CN is a cloud-native microservices architecture on DigitalOcean Kubernetes (DOKS). DDD strategic design fixes the service boundaries first; integration, deployment, platform engineering and quality-attribute tactics are then layered around them. Every runtime component is either a DigitalOcean managed service or open-source software running in the cluster, so the same stack also runs locally on Docker Compose and is not tied to one provider.</w:t>
      </w:r>
    </w:p>
    <w:p>
      <w:pPr>
        <w:pStyle w:val="Heading2"/>
      </w:pPr>
      <w:r>
        <w:rPr/>
        <w:t>5.1 Bounded Contexts and Data Ownership</w:t>
      </w:r>
    </w:p>
    <w:p>
      <w:pPr>
        <w:keepLines w:val="0"/>
        <w:widowControl/>
        <w:spacing w:after="40"/>
      </w:pPr>
      <w:r>
        <w:rPr>
          <w:b w:val="0"/>
          <w:i w:val="0"/>
        </w:rPr>
        <w:t xml:space="preserve">The Core Domain is Compliance Intelligence: turning supplier and formula changes into auditable allergen and label-action decisions. Specification, Formulation and Label Workflow are supporting contexts. Identity (Keycloak), notification and audit use generic platform capabilities.</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50"/>
        <w:gridCol w:w="1850"/>
        <w:gridCol w:w="3600"/>
        <w:gridCol w:w="3000"/>
      </w:tblGrid>
      <w:tr>
        <w:trPr>
          <w:cantSplit/>
          <w:tblHeader/>
        </w:trPr>
        <w:tc>
          <w:tcPr>
            <w:tcW w:type="dxa" w:w="1650"/>
            <w:shd w:val="clear" w:color="auto" w:fill="EEEEEE"/>
            <w:tcMar>
              <w:top w:w="30" w:type="dxa"/>
              <w:start w:w="60" w:type="dxa"/>
              <w:bottom w:w="30" w:type="dxa"/>
              <w:end w:w="60" w:type="dxa"/>
            </w:tcMar>
            <w:vAlign w:val="center"/>
          </w:tcPr>
          <w:p>
            <w:pPr>
              <w:spacing w:before="0" w:after="0"/>
            </w:pPr>
            <w:r>
              <w:rPr>
                <w:rFonts w:ascii="Arial" w:hAnsi="Arial" w:eastAsia="SimSun"/>
                <w:b/>
                <w:sz w:val="14"/>
              </w:rPr>
              <w:t xml:space="preserve">Service</w:t>
            </w:r>
          </w:p>
        </w:tc>
        <w:tc>
          <w:tcPr>
            <w:tcW w:type="dxa" w:w="1850"/>
            <w:shd w:val="clear" w:color="auto" w:fill="EEEEEE"/>
            <w:tcMar>
              <w:top w:w="30" w:type="dxa"/>
              <w:start w:w="60" w:type="dxa"/>
              <w:bottom w:w="30" w:type="dxa"/>
              <w:end w:w="60" w:type="dxa"/>
            </w:tcMar>
            <w:vAlign w:val="center"/>
          </w:tcPr>
          <w:p>
            <w:pPr>
              <w:spacing w:before="0" w:after="0"/>
            </w:pPr>
            <w:r>
              <w:rPr>
                <w:rFonts w:ascii="Arial" w:hAnsi="Arial" w:eastAsia="SimSun"/>
                <w:b/>
                <w:sz w:val="14"/>
              </w:rPr>
              <w:t xml:space="preserve">Role</w:t>
            </w:r>
          </w:p>
        </w:tc>
        <w:tc>
          <w:tcPr>
            <w:tcW w:type="dxa" w:w="3600"/>
            <w:shd w:val="clear" w:color="auto" w:fill="EEEEEE"/>
            <w:tcMar>
              <w:top w:w="30" w:type="dxa"/>
              <w:start w:w="60" w:type="dxa"/>
              <w:bottom w:w="30" w:type="dxa"/>
              <w:end w:w="60" w:type="dxa"/>
            </w:tcMar>
            <w:vAlign w:val="center"/>
          </w:tcPr>
          <w:p>
            <w:pPr>
              <w:spacing w:before="0" w:after="0"/>
            </w:pPr>
            <w:r>
              <w:rPr>
                <w:rFonts w:ascii="Arial" w:hAnsi="Arial" w:eastAsia="SimSun"/>
                <w:b/>
                <w:sz w:val="14"/>
              </w:rPr>
              <w:t xml:space="preserve">Owned data</w:t>
            </w:r>
          </w:p>
        </w:tc>
        <w:tc>
          <w:tcPr>
            <w:tcW w:type="dxa" w:w="3000"/>
            <w:shd w:val="clear" w:color="auto" w:fill="EEEEEE"/>
            <w:tcMar>
              <w:top w:w="30" w:type="dxa"/>
              <w:start w:w="60" w:type="dxa"/>
              <w:bottom w:w="30" w:type="dxa"/>
              <w:end w:w="60" w:type="dxa"/>
            </w:tcMar>
            <w:vAlign w:val="center"/>
          </w:tcPr>
          <w:p>
            <w:pPr>
              <w:spacing w:before="0" w:after="0"/>
            </w:pPr>
            <w:r>
              <w:rPr>
                <w:rFonts w:ascii="Arial" w:hAnsi="Arial" w:eastAsia="SimSun"/>
                <w:b/>
                <w:sz w:val="14"/>
              </w:rPr>
              <w:t xml:space="preserve">Publishes / consumes</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SimSun"/>
                <w:b/>
                <w:sz w:val="14"/>
              </w:rPr>
              <w:t xml:space="preserve">Specification</w:t>
            </w:r>
          </w:p>
        </w:tc>
        <w:tc>
          <w:tcPr>
            <w:tcW w:type="dxa" w:w="1850"/>
            <w:tcMar>
              <w:top w:w="30" w:type="dxa"/>
              <w:start w:w="60" w:type="dxa"/>
              <w:bottom w:w="30" w:type="dxa"/>
              <w:end w:w="60" w:type="dxa"/>
            </w:tcMar>
            <w:vAlign w:val="center"/>
          </w:tcPr>
          <w:p>
            <w:pPr>
              <w:spacing w:before="0" w:after="0"/>
            </w:pPr>
            <w:r>
              <w:rPr>
                <w:rFonts w:ascii="Arial" w:hAnsi="Arial" w:eastAsia="SimSun"/>
                <w:b w:val="0"/>
                <w:sz w:val="14"/>
              </w:rPr>
              <w:t xml:space="preserve">Supporting; upstream, Producer side</w:t>
            </w:r>
          </w:p>
        </w:tc>
        <w:tc>
          <w:tcPr>
            <w:tcW w:type="dxa" w:w="3600"/>
            <w:tcMar>
              <w:top w:w="30" w:type="dxa"/>
              <w:start w:w="60" w:type="dxa"/>
              <w:bottom w:w="30" w:type="dxa"/>
              <w:end w:w="60" w:type="dxa"/>
            </w:tcMar>
            <w:vAlign w:val="center"/>
          </w:tcPr>
          <w:p>
            <w:pPr>
              <w:spacing w:before="0" w:after="0"/>
            </w:pPr>
            <w:r>
              <w:rPr>
                <w:rFonts w:ascii="Arial" w:hAnsi="Arial" w:eastAsia="SimSun"/>
                <w:b w:val="0"/>
                <w:sz w:val="14"/>
              </w:rPr>
              <w:t xml:space="preserve">supplier, supplier_material, ingredient vocabulary, specification versions and components</w:t>
            </w:r>
          </w:p>
        </w:tc>
        <w:tc>
          <w:tcPr>
            <w:tcW w:type="dxa" w:w="3000"/>
            <w:tcMar>
              <w:top w:w="30" w:type="dxa"/>
              <w:start w:w="60" w:type="dxa"/>
              <w:bottom w:w="30" w:type="dxa"/>
              <w:end w:w="60" w:type="dxa"/>
            </w:tcMar>
            <w:vAlign w:val="center"/>
          </w:tcPr>
          <w:p>
            <w:pPr>
              <w:spacing w:before="0" w:after="0"/>
            </w:pPr>
            <w:r>
              <w:rPr>
                <w:rFonts w:ascii="Arial" w:hAnsi="Arial" w:eastAsia="SimSun"/>
                <w:b w:val="0"/>
                <w:sz w:val="14"/>
              </w:rPr>
              <w:t xml:space="preserve">Producer API; publishes SpecificationPublished</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SimSun"/>
                <w:b/>
                <w:sz w:val="14"/>
              </w:rPr>
              <w:t xml:space="preserve">Formulation</w:t>
            </w:r>
          </w:p>
        </w:tc>
        <w:tc>
          <w:tcPr>
            <w:tcW w:type="dxa" w:w="1850"/>
            <w:tcMar>
              <w:top w:w="30" w:type="dxa"/>
              <w:start w:w="60" w:type="dxa"/>
              <w:bottom w:w="30" w:type="dxa"/>
              <w:end w:w="60" w:type="dxa"/>
            </w:tcMar>
            <w:vAlign w:val="center"/>
          </w:tcPr>
          <w:p>
            <w:pPr>
              <w:spacing w:before="0" w:after="0"/>
            </w:pPr>
            <w:r>
              <w:rPr>
                <w:rFonts w:ascii="Arial" w:hAnsi="Arial" w:eastAsia="SimSun"/>
                <w:b w:val="0"/>
                <w:sz w:val="14"/>
              </w:rPr>
              <w:t xml:space="preserve">Supporting; manufacturer-owned</w:t>
            </w:r>
          </w:p>
        </w:tc>
        <w:tc>
          <w:tcPr>
            <w:tcW w:type="dxa" w:w="3600"/>
            <w:tcMar>
              <w:top w:w="30" w:type="dxa"/>
              <w:start w:w="60" w:type="dxa"/>
              <w:bottom w:w="30" w:type="dxa"/>
              <w:end w:w="60" w:type="dxa"/>
            </w:tcMar>
            <w:vAlign w:val="center"/>
          </w:tcPr>
          <w:p>
            <w:pPr>
              <w:spacing w:before="0" w:after="0"/>
            </w:pPr>
            <w:r>
              <w:rPr>
                <w:rFonts w:ascii="Arial" w:hAnsi="Arial" w:eastAsia="SimSun"/>
                <w:b w:val="0"/>
                <w:sz w:val="14"/>
              </w:rPr>
              <w:t xml:space="preserve">product, formula versions and items; released-specification projection</w:t>
            </w:r>
          </w:p>
        </w:tc>
        <w:tc>
          <w:tcPr>
            <w:tcW w:type="dxa" w:w="3000"/>
            <w:tcMar>
              <w:top w:w="30" w:type="dxa"/>
              <w:start w:w="60" w:type="dxa"/>
              <w:bottom w:w="30" w:type="dxa"/>
              <w:end w:w="60" w:type="dxa"/>
            </w:tcMar>
            <w:vAlign w:val="center"/>
          </w:tcPr>
          <w:p>
            <w:pPr>
              <w:spacing w:before="0" w:after="0"/>
            </w:pPr>
            <w:r>
              <w:rPr>
                <w:rFonts w:ascii="Arial" w:hAnsi="Arial" w:eastAsia="SimSun"/>
                <w:b w:val="0"/>
                <w:sz w:val="14"/>
              </w:rPr>
              <w:t xml:space="preserve">Formula API; consumes SpecificationPublished; publishes FormulaPublished</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SimSun"/>
                <w:b/>
                <w:sz w:val="14"/>
              </w:rPr>
              <w:t xml:space="preserve">Compliance</w:t>
            </w:r>
          </w:p>
        </w:tc>
        <w:tc>
          <w:tcPr>
            <w:tcW w:type="dxa" w:w="1850"/>
            <w:tcMar>
              <w:top w:w="30" w:type="dxa"/>
              <w:start w:w="60" w:type="dxa"/>
              <w:bottom w:w="30" w:type="dxa"/>
              <w:end w:w="60" w:type="dxa"/>
            </w:tcMar>
            <w:vAlign w:val="center"/>
          </w:tcPr>
          <w:p>
            <w:pPr>
              <w:spacing w:before="0" w:after="0"/>
            </w:pPr>
            <w:r>
              <w:rPr>
                <w:rFonts w:ascii="Arial" w:hAnsi="Arial" w:eastAsia="SimSun"/>
                <w:b w:val="0"/>
                <w:sz w:val="14"/>
              </w:rPr>
              <w:t xml:space="preserve">Core; scale-out target</w:t>
            </w:r>
          </w:p>
        </w:tc>
        <w:tc>
          <w:tcPr>
            <w:tcW w:type="dxa" w:w="3600"/>
            <w:tcMar>
              <w:top w:w="30" w:type="dxa"/>
              <w:start w:w="60" w:type="dxa"/>
              <w:bottom w:w="30" w:type="dxa"/>
              <w:end w:w="60" w:type="dxa"/>
            </w:tcMar>
            <w:vAlign w:val="center"/>
          </w:tcPr>
          <w:p>
            <w:pPr>
              <w:spacing w:before="0" w:after="0"/>
            </w:pPr>
            <w:r>
              <w:rPr>
                <w:rFonts w:ascii="Arial" w:hAnsi="Arial" w:eastAsia="SimSun"/>
                <w:b w:val="0"/>
                <w:sz w:val="14"/>
              </w:rPr>
              <w:t xml:space="preserve">allergen dictionary, ingredient→allergen mappings, rule sets, validation runs/results, impact findings; projections of released specifications, formulas and published labels</w:t>
            </w:r>
          </w:p>
        </w:tc>
        <w:tc>
          <w:tcPr>
            <w:tcW w:type="dxa" w:w="3000"/>
            <w:tcMar>
              <w:top w:w="30" w:type="dxa"/>
              <w:start w:w="60" w:type="dxa"/>
              <w:bottom w:w="30" w:type="dxa"/>
              <w:end w:w="60" w:type="dxa"/>
            </w:tcMar>
            <w:vAlign w:val="center"/>
          </w:tcPr>
          <w:p>
            <w:pPr>
              <w:spacing w:before="0" w:after="0"/>
            </w:pPr>
            <w:r>
              <w:rPr>
                <w:rFonts w:ascii="Arial" w:hAnsi="Arial" w:eastAsia="SimSun"/>
                <w:b w:val="0"/>
                <w:sz w:val="14"/>
              </w:rPr>
              <w:t xml:space="preserve">Validation, impact-preview and impact-inbox APIs; publishes ImpactFinding</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SimSun"/>
                <w:b/>
                <w:sz w:val="14"/>
              </w:rPr>
              <w:t xml:space="preserve">Label Workflow</w:t>
            </w:r>
          </w:p>
        </w:tc>
        <w:tc>
          <w:tcPr>
            <w:tcW w:type="dxa" w:w="1850"/>
            <w:tcMar>
              <w:top w:w="30" w:type="dxa"/>
              <w:start w:w="60" w:type="dxa"/>
              <w:bottom w:w="30" w:type="dxa"/>
              <w:end w:w="60" w:type="dxa"/>
            </w:tcMar>
            <w:vAlign w:val="center"/>
          </w:tcPr>
          <w:p>
            <w:pPr>
              <w:spacing w:before="0" w:after="0"/>
            </w:pPr>
            <w:r>
              <w:rPr>
                <w:rFonts w:ascii="Arial" w:hAnsi="Arial" w:eastAsia="SimSun"/>
                <w:b w:val="0"/>
                <w:sz w:val="14"/>
              </w:rPr>
              <w:t xml:space="preserve">Supporting</w:t>
            </w:r>
          </w:p>
        </w:tc>
        <w:tc>
          <w:tcPr>
            <w:tcW w:type="dxa" w:w="3600"/>
            <w:tcMar>
              <w:top w:w="30" w:type="dxa"/>
              <w:start w:w="60" w:type="dxa"/>
              <w:bottom w:w="30" w:type="dxa"/>
              <w:end w:w="60" w:type="dxa"/>
            </w:tcMar>
            <w:vAlign w:val="center"/>
          </w:tcPr>
          <w:p>
            <w:pPr>
              <w:spacing w:before="0" w:after="0"/>
            </w:pPr>
            <w:r>
              <w:rPr>
                <w:rFonts w:ascii="Arial" w:hAnsi="Arial" w:eastAsia="SimSun"/>
                <w:b w:val="0"/>
                <w:sz w:val="14"/>
              </w:rPr>
              <w:t xml:space="preserve">label versions, declarations, validation records, review tasks, approvals, publications, current-label flag; released-formula projection</w:t>
            </w:r>
          </w:p>
        </w:tc>
        <w:tc>
          <w:tcPr>
            <w:tcW w:type="dxa" w:w="3000"/>
            <w:tcMar>
              <w:top w:w="30" w:type="dxa"/>
              <w:start w:w="60" w:type="dxa"/>
              <w:bottom w:w="30" w:type="dxa"/>
              <w:end w:w="60" w:type="dxa"/>
            </w:tcMar>
            <w:vAlign w:val="center"/>
          </w:tcPr>
          <w:p>
            <w:pPr>
              <w:spacing w:before="0" w:after="0"/>
            </w:pPr>
            <w:r>
              <w:rPr>
                <w:rFonts w:ascii="Arial" w:hAnsi="Arial" w:eastAsia="SimSun"/>
                <w:b w:val="0"/>
                <w:sz w:val="14"/>
              </w:rPr>
              <w:t xml:space="preserve">Workflow API; consumes FormulaPublished and ImpactFinding; publishes LabelPublished</w:t>
            </w:r>
          </w:p>
        </w:tc>
      </w:tr>
    </w:tbl>
    <w:p>
      <w:pPr>
        <w:spacing w:before="0" w:after="0" w:line="120" w:lineRule="exact"/>
      </w:pPr>
    </w:p>
    <w:p>
      <w:pPr>
        <w:keepNext/>
        <w:spacing w:before="60" w:after="0"/>
        <w:jc w:val="center"/>
      </w:pPr>
      <w:r>
        <w:drawing>
          <wp:inline xmlns:a="http://schemas.openxmlformats.org/drawingml/2006/main" xmlns:pic="http://schemas.openxmlformats.org/drawingml/2006/picture">
            <wp:extent cx="6400800" cy="1168146"/>
            <wp:docPr id="1" name="Fig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400800" cy="1168146"/>
                    </a:xfrm>
                    <a:prstGeom prst="rect">
                      <a:avLst/>
                    </a:prstGeom>
                  </pic:spPr>
                </pic:pic>
              </a:graphicData>
            </a:graphic>
          </wp:inline>
        </w:drawing>
      </w:r>
    </w:p>
    <w:p>
      <w:pPr>
        <w:spacing w:after="60"/>
        <w:jc w:val="center"/>
      </w:pPr>
      <w:r>
        <w:rPr>
          <w:i/>
          <w:sz w:val="16"/>
        </w:rPr>
        <w:t xml:space="preserve">Figure 1. Context map and the two-phase interaction; (n) marks the demo steps in §6.7. Solid = synchronous HTTP; dashed = event via transactional outbox and RabbitMQ.</w:t>
      </w:r>
    </w:p>
    <w:p>
      <w:pPr>
        <w:pStyle w:val="Heading2"/>
      </w:pPr>
      <w:r>
        <w:rPr/>
        <w:t>5.2 Key Architecture Decisions</w:t>
      </w:r>
    </w:p>
    <w:p>
      <w:pPr>
        <w:pStyle w:val="ListBullet"/>
        <w:spacing w:after="22"/>
        <w:ind w:left="255" w:hanging="102"/>
      </w:pPr>
      <w:r>
        <w:rPr>
          <w:b/>
          <w:i w:val="0"/>
        </w:rPr>
        <w:t xml:space="preserve">Split the baseline catalog into Specification and Formulation.</w:t>
      </w:r>
      <w:r>
        <w:rPr>
          <w:b w:val="0"/>
          <w:i w:val="0"/>
        </w:rPr>
        <w:t xml:space="preserve"> Supplier-published specifications are shared network value; formulas are private manufacturer adoption decisions with a different owner, lifecycle and visibility.</w:t>
      </w:r>
    </w:p>
    <w:p>
      <w:pPr>
        <w:pStyle w:val="ListBullet"/>
        <w:spacing w:after="22"/>
        <w:ind w:left="255" w:hanging="102"/>
      </w:pPr>
      <w:r>
        <w:rPr>
          <w:b/>
          <w:i w:val="0"/>
        </w:rPr>
        <w:t xml:space="preserve">Specification owns the ingredient vocabulary; Compliance owns allergen knowledge about ingredients.</w:t>
      </w:r>
      <w:r>
        <w:rPr>
          <w:b w:val="0"/>
          <w:i w:val="0"/>
        </w:rPr>
        <w:t xml:space="preserve"> Every dependency therefore points one way, downstream from Specification. An ingredient that Compliance has not mapped yet is reported as UNRESOLVED and yields REVIEW_REQUIRED, never a silent pass (baseline rule BR-03).</w:t>
      </w:r>
    </w:p>
    <w:p>
      <w:pPr>
        <w:pStyle w:val="ListBullet"/>
        <w:spacing w:after="22"/>
        <w:ind w:left="255" w:hanging="102"/>
      </w:pPr>
      <w:r>
        <w:rPr>
          <w:b/>
          <w:i w:val="0"/>
        </w:rPr>
        <w:t xml:space="preserve">Keep label draft, review, approval and publication in one service.</w:t>
      </w:r>
      <w:r>
        <w:rPr>
          <w:b w:val="0"/>
          <w:i w:val="0"/>
        </w:rPr>
        <w:t xml:space="preserve"> Maker-checker and replacing the current published label need immediate consistency. Dropping the baseline pointer product.current_published_label_version_id in favour of Label Workflow's own current-label flag keeps publication in one local transaction instead of a Saga.</w:t>
      </w:r>
    </w:p>
    <w:p>
      <w:pPr>
        <w:pStyle w:val="ListBullet"/>
        <w:spacing w:after="22"/>
        <w:ind w:left="255" w:hanging="102"/>
      </w:pPr>
      <w:r>
        <w:rPr>
          <w:b/>
          <w:i w:val="0"/>
        </w:rPr>
        <w:t xml:space="preserve">Combine allergen derivation, rule evaluation and impact analysis in Compliance:</w:t>
      </w:r>
      <w:r>
        <w:rPr>
          <w:b w:val="0"/>
          <w:i w:val="0"/>
        </w:rPr>
        <w:t xml:space="preserve"> one ubiquitous language and one decision model. Released versions are immutable (BR-01), so each replica caches them in memory without invalidation. Compliance is therefore stateless between requests, compute-bound and horizontally scalable.</w:t>
      </w:r>
    </w:p>
    <w:p>
      <w:pPr>
        <w:pStyle w:val="ListBullet"/>
        <w:spacing w:after="22"/>
        <w:ind w:left="255" w:hanging="102"/>
      </w:pPr>
      <w:r>
        <w:rPr>
          <w:b/>
          <w:i w:val="0"/>
        </w:rPr>
        <w:t xml:space="preserve">Replace every cross-context foreign key with an ID reference checked against an event-fed projection.</w:t>
      </w:r>
      <w:r>
        <w:rPr>
          <w:b w:val="0"/>
          <w:i w:val="0"/>
        </w:rPr>
        <w:t xml:space="preserve"> user_account becomes the OIDC subject plus an organisation claim, data_provenance becomes service-local, and product, formula and rule-set references become plain IDs. No service reads another service's schema.</w:t>
      </w:r>
    </w:p>
    <w:p>
      <w:pPr>
        <w:pStyle w:val="ListBullet"/>
        <w:spacing w:after="22"/>
        <w:ind w:left="255" w:hanging="102"/>
      </w:pPr>
      <w:r>
        <w:rPr>
          <w:b/>
          <w:i w:val="0"/>
        </w:rPr>
        <w:t xml:space="preserve">Re-implement the label stored procedures (submit, decision, publish) as service-local transactions in Label Workflow.</w:t>
      </w:r>
      <w:r>
        <w:rPr>
          <w:b w:val="0"/>
          <w:i w:val="0"/>
        </w:rPr>
        <w:t xml:space="preserve"> Their RBAC joins become token-based checks, and the BR-05 check (an exact-version PASSED validation before review) reads Label Workflow's own validation records instead of validation_run. The monolith's existing integration tests are the equivalence oracle.</w:t>
      </w:r>
    </w:p>
    <w:p>
      <w:pPr>
        <w:pStyle w:val="Heading2"/>
      </w:pPr>
      <w:r>
        <w:rPr/>
        <w:t>5.3 Integration, Runtime and Platform Engineering</w:t>
      </w:r>
    </w:p>
    <w:p>
      <w:pPr>
        <w:pStyle w:val="ListBullet"/>
        <w:spacing w:after="22"/>
        <w:ind w:left="255" w:hanging="102"/>
      </w:pPr>
      <w:r>
        <w:rPr>
          <w:b/>
          <w:i w:val="0"/>
        </w:rPr>
        <w:t xml:space="preserve">Events.</w:t>
      </w:r>
      <w:r>
        <w:rPr>
          <w:b w:val="0"/>
          <w:i w:val="0"/>
        </w:rPr>
        <w:t xml:space="preserve"> SpecificationPublished, FormulaPublished, ImpactFinding and LabelPublished use versioned JSON Schema as the Published Language. Each service writes business state, local audit and an outbox row in one transaction; a relay publishes them with publisher confirms to a RabbitMQ topic exchange, and each consumer owns a durable quorum queue with a delivery limit and a dead-letter queue (at-least-once). Consumers deduplicate by event ID and discard stale aggregate versions. Every event carries organisation and correlation IDs.</w:t>
      </w:r>
    </w:p>
    <w:p>
      <w:pPr>
        <w:pStyle w:val="ListBullet"/>
        <w:spacing w:after="22"/>
        <w:ind w:left="255" w:hanging="102"/>
      </w:pPr>
      <w:r>
        <w:rPr>
          <w:b/>
          <w:i w:val="0"/>
        </w:rPr>
        <w:t xml:space="preserve">One synchronous business call: Label Workflow → Compliance validation.</w:t>
      </w:r>
      <w:r>
        <w:rPr>
          <w:b w:val="0"/>
          <w:i w:val="0"/>
        </w:rPr>
        <w:t xml:space="preserve"> The request carries the draft snapshot (label version, declarations, formula version, jurisdiction, rule-set version), so Compliance never calls back upstream. An idempotency key makes one bounded retry safe; a 2 s timeout and a circuit breaker make the call fail closed. Label Workflow stores the returned run ID and outcome with the draft, so the later BR-05 check is local.</w:t>
      </w:r>
    </w:p>
    <w:p>
      <w:pPr>
        <w:pStyle w:val="ListBullet"/>
        <w:spacing w:after="22"/>
        <w:ind w:left="255" w:hanging="102"/>
      </w:pPr>
      <w:r>
        <w:rPr>
          <w:b/>
          <w:i w:val="0"/>
        </w:rPr>
        <w:t xml:space="preserve">Edge and identity.</w:t>
      </w:r>
      <w:r>
        <w:rPr>
          <w:b w:val="0"/>
          <w:i w:val="0"/>
        </w:rPr>
        <w:t xml:space="preserve"> A DigitalOcean Load Balancer terminates TLS (Let's Encrypt) in front of Spring Cloud Gateway, the only north-south entry: Keycloak JWT validation, routing, per-client rate and payload limits, and correlation IDs. Services are ClusterIP-only behind default-deny NetworkPolicies. The React app signs in through Keycloak (authorisation code + PKCE). Each service re-validates the token and enforces roles and organisation ownership; the validation call forwards the user's token so the real actor is authorised and audited. East-west traffic uses Kubernetes service DNS.</w:t>
      </w:r>
    </w:p>
    <w:p>
      <w:pPr>
        <w:pStyle w:val="ListBullet"/>
        <w:spacing w:after="22"/>
        <w:ind w:left="255" w:hanging="102"/>
      </w:pPr>
      <w:r>
        <w:rPr>
          <w:b/>
          <w:i w:val="0"/>
        </w:rPr>
        <w:t xml:space="preserve">Golden Path.</w:t>
      </w:r>
      <w:r>
        <w:rPr>
          <w:b w:val="0"/>
          <w:i w:val="0"/>
        </w:rPr>
        <w:t xml:space="preserve"> A lightweight Spring Boot starter (token and organisation context, correlation ID, error envelope, outbox and idempotent-consumer support, health/readiness, structured logs, metrics), a reusable GitHub Actions workflow and a Helm chart template. It contains no domain entities, DTOs or business rules.</w:t>
      </w:r>
    </w:p>
    <w:p>
      <w:pPr>
        <w:pStyle w:val="Heading1"/>
      </w:pPr>
      <w:r>
        <w:rPr/>
        <w:t>6. Scope of Work</w:t>
      </w:r>
    </w:p>
    <w:p>
      <w:pPr>
        <w:pStyle w:val="Heading2"/>
      </w:pPr>
      <w:r>
        <w:rPr/>
        <w:t>6.1 Platform Business Model</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8400"/>
      </w:tblGrid>
      <w:tr>
        <w:trPr>
          <w:cantSplit/>
          <w:tblHeader/>
        </w:trPr>
        <w:tc>
          <w:tcPr>
            <w:tcW w:type="dxa" w:w="17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Platform element</w:t>
            </w:r>
          </w:p>
        </w:tc>
        <w:tc>
          <w:tcPr>
            <w:tcW w:type="dxa" w:w="84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SpecTrace-CN MVP</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Seed</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Versioned supplier material specification: created by suppliers, consumed by manufacturers. The codebase, rule engine and cloud runtime are not Seeds.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Producers</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Ingredient suppliers (supplier organisations) that publish specification versions.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Consumers</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Manufacturers' formulation, compliance and label teams (manufacturer organisations).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Core interaction</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Supplier publishes V2 → platform matches it to formulas that use earlier versions and previews the allergen effect → manufacturer adopts V2 in a new formula → confirmed impact finding → label review, approval and publication.</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Magnet</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Suppliers publish once instead of answering each customer by e-mail; manufacturers receive impact evidence without asking. Cross-side network effect: more suppliers make the platform more useful to manufacturers, and more manufacturers make publishing more worthwhile for suppliers. A manufacturer that later publishes semi-finished materials also becomes a Producer.</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Toolbox</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Supplier publication API and client; impact-preview, impact-inbox and validation APIs; event subscriptions; React reference consumer; OpenAPI documents and event schemas.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Matchmaker</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Compliance matches a changed specification only to formulas whose allergen conclusion actually changes, not to every formula that uses the material, and attaches version and provenance evidence.</w:t>
            </w:r>
          </w:p>
        </w:tc>
      </w:tr>
    </w:tbl>
    <w:p>
      <w:pPr>
        <w:spacing w:before="0" w:after="0" w:line="120" w:lineRule="exact"/>
      </w:pPr>
    </w:p>
    <w:p>
      <w:pPr>
        <w:keepLines w:val="0"/>
        <w:widowControl/>
        <w:spacing w:after="40"/>
      </w:pPr>
      <w:r>
        <w:rPr>
          <w:b w:val="0"/>
          <w:i w:val="0"/>
        </w:rPr>
        <w:t xml:space="preserve">The MVP intentionally starts with one Seed; regulatory rule packs and other compliance attributes are possible future Seeds and are out of scope.</w:t>
      </w:r>
    </w:p>
    <w:p>
      <w:pPr>
        <w:pStyle w:val="Heading2"/>
      </w:pPr>
      <w:r>
        <w:rPr/>
        <w:t>6.2 Two-Phase Change-Impact Flow (Core Domain)</w:t>
      </w:r>
    </w:p>
    <w:p>
      <w:pPr>
        <w:pStyle w:val="ListBullet"/>
        <w:spacing w:after="22"/>
        <w:ind w:left="255" w:hanging="102"/>
      </w:pPr>
      <w:r>
        <w:rPr>
          <w:b/>
          <w:i w:val="0"/>
        </w:rPr>
        <w:t xml:space="preserve">Phase 1 – Match.</w:t>
      </w:r>
      <w:r>
        <w:rPr>
          <w:b w:val="0"/>
          <w:i w:val="0"/>
        </w:rPr>
        <w:t xml:space="preserve"> On SpecificationPublished, Compliance finds released formulas that reference an earlier version of the material, derives the allergen set each would have with the new version, compares it with the current published label and records a POTENTIAL finding (NO_ACTION or REVIEW_REQUIRED) in the manufacturer's impact inbox. A supplier publication never changes a formula (BR-02).</w:t>
      </w:r>
    </w:p>
    <w:p>
      <w:pPr>
        <w:pStyle w:val="ListBullet"/>
        <w:spacing w:after="22"/>
        <w:ind w:left="255" w:hanging="102"/>
      </w:pPr>
      <w:r>
        <w:rPr>
          <w:b/>
          <w:i w:val="0"/>
        </w:rPr>
        <w:t xml:space="preserve">Phase 2 – Confirm.</w:t>
      </w:r>
      <w:r>
        <w:rPr>
          <w:b w:val="0"/>
          <w:i w:val="0"/>
        </w:rPr>
        <w:t xml:space="preserve"> When the manufacturer releases a formula that adopts V2 (FormulaPublished), Compliance evaluates it against the current published label and emits a CONFIRMED ImpactFinding; Label Workflow opens a review task for REVIEW_REQUIRED.</w:t>
      </w:r>
    </w:p>
    <w:p>
      <w:pPr>
        <w:pStyle w:val="ListBullet"/>
        <w:spacing w:after="22"/>
        <w:ind w:left="255" w:hanging="102"/>
      </w:pPr>
      <w:r>
        <w:rPr>
          <w:b/>
          <w:i w:val="0"/>
        </w:rPr>
        <w:t xml:space="preserve">Why Compliance scales independently.</w:t>
      </w:r>
      <w:r>
        <w:rPr>
          <w:b w:val="0"/>
          <w:i w:val="0"/>
        </w:rPr>
        <w:t xml:space="preserve"> One specification change fans out to every formula of every manufacturer that uses the material, and impact previews and validations follow each change. Compliance load grows with manufacturers × formulas, whereas specification and label traffic grows only with human edits.</w:t>
      </w:r>
    </w:p>
    <w:p>
      <w:pPr>
        <w:pStyle w:val="Heading2"/>
      </w:pPr>
      <w:r>
        <w:rPr/>
        <w:t>6.3 Microservices, Data and Team Responsibilities</w:t>
      </w:r>
    </w:p>
    <w:p>
      <w:pPr>
        <w:keepLines w:val="0"/>
        <w:widowControl/>
        <w:spacing w:after="40"/>
      </w:pPr>
      <w:r>
        <w:rPr>
          <w:b w:val="0"/>
          <w:i w:val="0"/>
        </w:rPr>
        <w:t xml:space="preserve">The team extracts where the baseline has working logic: catalog → Specification + Formulation; allergen + validation → Compliance (validation already reaches label and formula data through LabelSnapshotPort and FormulaCompositionPort, which become the validation request payload and the formula projection); label + workflow → Label Workflow. New work is the review/approval/publication APIs and screens, the two-phase impact analysis, the organisation model, outbox and events, and the stored-procedure rewrite. Each service keeps Spring JDBC + Flyway and owns one schema with its own credentials on one DigitalOcean Managed MySQL cluster (primary + standby node); database grants block cross-schema reads.</w:t>
      </w:r>
    </w:p>
    <w:p>
      <w:pPr>
        <w:keepLines w:val="0"/>
        <w:widowControl/>
        <w:spacing w:after="40"/>
      </w:pPr>
      <w:r>
        <w:rPr>
          <w:b/>
          <w:i w:val="0"/>
        </w:rPr>
        <w:t xml:space="preserve">Organisation model.</w:t>
      </w:r>
      <w:r>
        <w:rPr>
          <w:b w:val="0"/>
          <w:i w:val="0"/>
        </w:rPr>
        <w:t xml:space="preserve"> Every user belongs to one SUPPLIER or MANUFACTURER organisation, carried with the user's roles as token claims. Suppliers can change only their own materials; released specifications are readable by all manufacturers; formulas, labels and findings are visible only to the owning manufacturer.</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8400"/>
      </w:tblGrid>
      <w:tr>
        <w:trPr>
          <w:cantSplit/>
          <w:tblHeader/>
        </w:trPr>
        <w:tc>
          <w:tcPr>
            <w:tcW w:type="dxa" w:w="17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Member</w:t>
            </w:r>
          </w:p>
        </w:tc>
        <w:tc>
          <w:tcPr>
            <w:tcW w:type="dxa" w:w="84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Primary responsibility</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Huang Xiangjia</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Specification + Formulation extraction; organisation and ownership model; outbox and event envelope in the starter; SpecificationPublished and FormulaPublished.</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Cai Runchen</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Compliance extraction; projections; two-phase impact analysis; validation and impact APIs; load and failover experiments; pairs with Sun on the DOKS node pools in Gate 1.</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Xu Feiyang</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React reference consumer: Keycloak sign-in, gateway APIs, impact inbox, review/approval/publication screens. Should: partner client and Notification service.</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Zhu Wenyu</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Label Workflow extraction; stored-procedure rewrite and workflow APIs; Keycloak realm, clients and claim mappers; token/organisation checks in the starter; negative authorisation tests.</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SimSun"/>
                <w:b/>
                <w:sz w:val="15"/>
              </w:rPr>
              <w:t xml:space="preserve">Sun Huajian</w:t>
            </w:r>
          </w:p>
        </w:tc>
        <w:tc>
          <w:tcPr>
            <w:tcW w:type="dxa" w:w="8400"/>
            <w:tcMar>
              <w:top w:w="30" w:type="dxa"/>
              <w:start w:w="60" w:type="dxa"/>
              <w:bottom w:w="30" w:type="dxa"/>
              <w:end w:w="60" w:type="dxa"/>
            </w:tcMar>
            <w:vAlign w:val="center"/>
          </w:tcPr>
          <w:p>
            <w:pPr>
              <w:spacing w:before="0" w:after="0"/>
            </w:pPr>
            <w:r>
              <w:rPr>
                <w:rFonts w:ascii="Arial" w:hAnsi="Arial" w:eastAsia="SimSun"/>
                <w:b w:val="0"/>
                <w:sz w:val="15"/>
              </w:rPr>
              <w:t xml:space="preserve">DigitalOcean staging as code (Terraform + Helm: VPC, DOKS, Managed MySQL, load balancer, registry, RabbitMQ and Keycloak operators, Grafana Alloy); per-service CI/CD; evidence bound to commit SHA and image digest.</w:t>
            </w:r>
          </w:p>
        </w:tc>
      </w:tr>
    </w:tbl>
    <w:p>
      <w:pPr>
        <w:spacing w:before="0" w:after="0" w:line="120" w:lineRule="exact"/>
      </w:pPr>
    </w:p>
    <w:p>
      <w:pPr>
        <w:pStyle w:val="Heading2"/>
      </w:pPr>
      <w:r>
        <w:rPr/>
        <w:t>6.4 Scalability, Availability and Capacity Evidence</w:t>
      </w:r>
    </w:p>
    <w:p>
      <w:pPr>
        <w:pStyle w:val="ListBullet"/>
        <w:spacing w:after="22"/>
        <w:ind w:left="255" w:hanging="102"/>
      </w:pPr>
      <w:r>
        <w:rPr>
          <w:b/>
          <w:i w:val="0"/>
        </w:rPr>
        <w:t xml:space="preserve">Workload.</w:t>
      </w:r>
      <w:r>
        <w:rPr>
          <w:b w:val="0"/>
          <w:i w:val="0"/>
        </w:rPr>
        <w:t xml:space="preserve"> The impact-preview API (evaluate a specification version against a manufacturer's released formulas) reads local projections and in-memory immutable versions, so it exercises Compliance compute rather than database writes; validation writes are measured separately. The dataset is scaled synthetically from the baseline USDA fixtures to about 5,000 released formula versions across 20 manufacturers.</w:t>
      </w:r>
    </w:p>
    <w:p>
      <w:pPr>
        <w:pStyle w:val="ListBullet"/>
        <w:spacing w:after="22"/>
        <w:ind w:left="255" w:hanging="102"/>
      </w:pPr>
      <w:r>
        <w:rPr>
          <w:b/>
          <w:i w:val="0"/>
        </w:rPr>
        <w:t xml:space="preserve">Method.</w:t>
      </w:r>
      <w:r>
        <w:rPr>
          <w:b w:val="0"/>
          <w:i w:val="0"/>
        </w:rPr>
        <w:t xml:space="preserve"> Every Compliance replica has the same fixed limit (1 vCPU, 2 GiB) on a dedicated-CPU node pool, so shared-vCPU noise cannot distort the comparison. k6 generates an open arrival-rate load from a separate host in the same region and steps the request rate until the SLO breaks. Runs: fixed 1 replica, fixed 3 replicas, then HPA autoscaling (1–4 replicas, 60% CPU target) with the node pool autoscaling from 1 to 4 nodes. Metrics: sustainable throughput, p50/p95 latency, error rate, replica CPU, memory and count, plus MySQL CPU and connections to locate the bottleneck.</w:t>
      </w:r>
    </w:p>
    <w:p>
      <w:pPr>
        <w:pStyle w:val="ListBullet"/>
        <w:spacing w:after="22"/>
        <w:ind w:left="255" w:hanging="102"/>
      </w:pPr>
      <w:r>
        <w:rPr>
          <w:b/>
          <w:i w:val="0"/>
        </w:rPr>
        <w:t xml:space="preserve">Pre-declared targets (SLO: p95 ≤ 2 s and errors &lt; 1%).</w:t>
      </w:r>
      <w:r>
        <w:rPr>
          <w:b w:val="0"/>
          <w:i w:val="0"/>
        </w:rPr>
        <w:t xml:space="preserve"> (1) The maximum sustainable rate of 3 replicas is at least 2× that of 1 replica. (2) Should: after a step to a rate one replica cannot sustain, autoscaling restores the SLO within 5 minutes. Targets are fixed before measurement and never relaxed; misses are reported with bottleneck analysis. They describe the test envelope, not production capacity.</w:t>
      </w:r>
    </w:p>
    <w:p>
      <w:pPr>
        <w:pStyle w:val="ListBullet"/>
        <w:spacing w:after="22"/>
        <w:ind w:left="255" w:hanging="102"/>
      </w:pPr>
      <w:r>
        <w:rPr>
          <w:b/>
          <w:i w:val="0"/>
        </w:rPr>
        <w:t xml:space="preserve">Failover.</w:t>
      </w:r>
      <w:r>
        <w:rPr>
          <w:b w:val="0"/>
          <w:i w:val="0"/>
        </w:rPr>
        <w:t xml:space="preserve"> At about 50% of the measured 3-replica capacity, one Compliance pod is killed. Targets: error rate over the run &lt; 1%, no continuous error window longer than 10 s, p95 back within the SLO within 60 s, replacement pod ready within 3 minutes. Tactics: readiness probes, replicas spread across nodes, load balancing, MySQL standby failover, RabbitMQ quorum queues with DLQ, timeouts and circuit breaker. DigitalOcean regions have no availability zones, so availability claims cover pod and node failure only.</w:t>
      </w:r>
    </w:p>
    <w:p>
      <w:pPr>
        <w:pStyle w:val="Heading2"/>
      </w:pPr>
      <w:r>
        <w:rPr/>
        <w:t>6.5 Platform Engineering and Reuse Evaluation</w:t>
      </w:r>
    </w:p>
    <w:p>
      <w:pPr>
        <w:keepLines w:val="0"/>
        <w:widowControl/>
        <w:spacing w:after="40"/>
      </w:pPr>
      <w:r>
        <w:rPr>
          <w:b w:val="0"/>
          <w:i w:val="0"/>
        </w:rPr>
        <w:t xml:space="preserve">The React application becomes the reference Consumer and uses only public APIs through the gateway. Two measurements show the benefit of building on the platform. (1) Should: a lightweight partner client reuses the Specification, impact and validation contracts without database access or domain-service changes; the team records onboarding steps, configuration and time to the first successful end-to-end call. (2) Should: a Notification service (e-mail/webhook for REVIEW_REQUIRED findings) is created from the starter, pipeline and Helm template; time and manual steps from creation to staging are compared with those of the first extracted service.</w:t>
      </w:r>
    </w:p>
    <w:p>
      <w:pPr>
        <w:pStyle w:val="Heading2"/>
      </w:pPr>
      <w:r>
        <w:rPr/>
        <w:t>6.6 DevSecOps, Security and Observability</w:t>
      </w:r>
    </w:p>
    <w:p>
      <w:pPr>
        <w:pStyle w:val="ListBullet"/>
        <w:spacing w:after="22"/>
        <w:ind w:left="255" w:hanging="102"/>
      </w:pPr>
      <w:r>
        <w:rPr>
          <w:b/>
          <w:i w:val="0"/>
        </w:rPr>
        <w:t xml:space="preserve">Delivery.</w:t>
      </w:r>
      <w:r>
        <w:rPr>
          <w:b w:val="0"/>
          <w:i w:val="0"/>
        </w:rPr>
        <w:t xml:space="preserve"> A reusable, path-filtered GitHub Actions workflow per service runs unit, Testcontainers integration and contract tests, Sonar, Trivy and OWASP Dependency-Check, pushes an immutable image tagged by commit SHA to DigitalOcean Container Registry, deploys it to DOKS with Helm and runs smoke tests. The pipeline uses a scoped, expiring DigitalOcean API token held as a GitHub environment secret. Blocking checks never use continue-on-error.</w:t>
      </w:r>
    </w:p>
    <w:p>
      <w:pPr>
        <w:pStyle w:val="ListBullet"/>
        <w:spacing w:after="22"/>
        <w:ind w:left="255" w:hanging="102"/>
      </w:pPr>
      <w:r>
        <w:rPr>
          <w:b/>
          <w:i w:val="0"/>
        </w:rPr>
        <w:t xml:space="preserve">Security.</w:t>
      </w:r>
      <w:r>
        <w:rPr>
          <w:b w:val="0"/>
          <w:i w:val="0"/>
        </w:rPr>
        <w:t xml:space="preserve"> Keycloak OIDC; RBAC and organisation ownership checks in every service; TLS at the load balancer; credentials injected by the pipeline from GitHub environment secrets into Kubernetes Secrets, never committed; least privilege through one MySQL user and one RabbitMQ user per service, default-deny NetworkPolicies and scoped API tokens; negative tests for 401, 403 and cross-organisation access. The legacy X-Auth-Provider/X-External-Subject headers remain only in the local profile.</w:t>
      </w:r>
    </w:p>
    <w:p>
      <w:pPr>
        <w:pStyle w:val="ListBullet"/>
        <w:spacing w:after="22"/>
        <w:ind w:left="255" w:hanging="102"/>
      </w:pPr>
      <w:r>
        <w:rPr>
          <w:b/>
          <w:i w:val="0"/>
        </w:rPr>
        <w:t xml:space="preserve">Observability.</w:t>
      </w:r>
      <w:r>
        <w:rPr>
          <w:b w:val="0"/>
          <w:i w:val="0"/>
        </w:rPr>
        <w:t xml:space="preserve"> Structured logs and metrics, with correlation IDs propagated through HTTP and event envelopes, are shipped by Grafana Alloy to Grafana Cloud (free tier: Prometheus metrics and Loki logs), with dashboards for the scale and failover runs. The demo reconstructs the audit trail by correlation ID with a Loki query. Should: distributed tracing with OpenTelemetry and Grafana Tempo. Could: a central audit read model.</w:t>
      </w:r>
    </w:p>
    <w:p>
      <w:pPr>
        <w:pStyle w:val="Heading2"/>
      </w:pPr>
      <w:r>
        <w:rPr/>
        <w:t>6.7 Demonstration, Scope Tiers and Boundary</w:t>
      </w:r>
    </w:p>
    <w:p>
      <w:pPr>
        <w:keepLines w:val="0"/>
        <w:widowControl/>
        <w:spacing w:after="40"/>
      </w:pPr>
      <w:r>
        <w:rPr>
          <w:b/>
          <w:i w:val="0"/>
        </w:rPr>
        <w:t xml:space="preserve">Final demo</w:t>
      </w:r>
      <w:r>
        <w:rPr>
          <w:b w:val="0"/>
          <w:i w:val="0"/>
        </w:rPr>
        <w:t xml:space="preserve"> (numbers match Figure 1): (1) a supplier publishes soy-lecithin Specification V2; (2) SpecificationPublished propagates; (3) Compliance matches formulas that use V1 and shows POTENTIAL findings in the manufacturer's inbox; (4) the manufacturer releases a formula adopting V2; (5) a CONFIRMED REVIEW_REQUIRED finding opens a review task; (6) Label Workflow runs draft, synchronous validation, submission, maker-checker approval and atomic publication; (7) LabelPublished updates the Compliance projection. The demo then reconstructs the audit trail, shows Compliance scale-out and failover on the dashboard, and delivers a change through the pipeline.</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00"/>
        <w:gridCol w:w="8200"/>
      </w:tblGrid>
      <w:tr>
        <w:trPr>
          <w:cantSplit/>
          <w:tblHeader/>
        </w:trPr>
        <w:tc>
          <w:tcPr>
            <w:tcW w:type="dxa" w:w="19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Tier</w:t>
            </w:r>
          </w:p>
        </w:tc>
        <w:tc>
          <w:tcPr>
            <w:tcW w:type="dxa" w:w="8200"/>
            <w:shd w:val="clear" w:color="auto" w:fill="EEEEEE"/>
            <w:tcMar>
              <w:top w:w="30" w:type="dxa"/>
              <w:start w:w="60" w:type="dxa"/>
              <w:bottom w:w="30" w:type="dxa"/>
              <w:end w:w="60" w:type="dxa"/>
            </w:tcMar>
            <w:vAlign w:val="center"/>
          </w:tcPr>
          <w:p>
            <w:pPr>
              <w:spacing w:before="0" w:after="0"/>
            </w:pPr>
            <w:r>
              <w:rPr>
                <w:rFonts w:ascii="Arial" w:hAnsi="Arial" w:eastAsia="SimSun"/>
                <w:b/>
                <w:sz w:val="15"/>
              </w:rPr>
              <w:t xml:space="preserve">Scope</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SimSun"/>
                <w:b/>
                <w:sz w:val="15"/>
              </w:rPr>
              <w:t xml:space="preserve">Must</w:t>
            </w:r>
          </w:p>
        </w:tc>
        <w:tc>
          <w:tcPr>
            <w:tcW w:type="dxa" w:w="8200"/>
            <w:tcMar>
              <w:top w:w="30" w:type="dxa"/>
              <w:start w:w="60" w:type="dxa"/>
              <w:bottom w:w="30" w:type="dxa"/>
              <w:end w:w="60" w:type="dxa"/>
            </w:tcMar>
            <w:vAlign w:val="center"/>
          </w:tcPr>
          <w:p>
            <w:pPr>
              <w:spacing w:before="0" w:after="0"/>
            </w:pPr>
            <w:r>
              <w:rPr>
                <w:rFonts w:ascii="Arial" w:hAnsi="Arial" w:eastAsia="SimSun"/>
                <w:b w:val="0"/>
                <w:sz w:val="15"/>
              </w:rPr>
              <w:t xml:space="preserve">Four services independently deployed on DOKS with their own schemas; organisation model; Keycloak and Spring Cloud Gateway; outbox with RabbitMQ for the four events; two-phase impact analysis; review/approval/publication APIs and screens; 1- vs 3-replica load test; one failover test; per-service CI/CD to staging; logs, metrics and correlation IDs.</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SimSun"/>
                <w:b/>
                <w:sz w:val="15"/>
              </w:rPr>
              <w:t xml:space="preserve">Should (schedule buffer)</w:t>
            </w:r>
          </w:p>
        </w:tc>
        <w:tc>
          <w:tcPr>
            <w:tcW w:type="dxa" w:w="8200"/>
            <w:tcMar>
              <w:top w:w="30" w:type="dxa"/>
              <w:start w:w="60" w:type="dxa"/>
              <w:bottom w:w="30" w:type="dxa"/>
              <w:end w:w="60" w:type="dxa"/>
            </w:tcMar>
            <w:vAlign w:val="center"/>
          </w:tcPr>
          <w:p>
            <w:pPr>
              <w:spacing w:before="0" w:after="0"/>
            </w:pPr>
            <w:r>
              <w:rPr>
                <w:rFonts w:ascii="Arial" w:hAnsi="Arial" w:eastAsia="SimSun"/>
                <w:b w:val="0"/>
                <w:sz w:val="15"/>
              </w:rPr>
              <w:t xml:space="preserve">Autoscaling run; partner-client onboarding measurement; Notification service via the Golden Path; distributed tracing.</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SimSun"/>
                <w:b/>
                <w:sz w:val="15"/>
              </w:rPr>
              <w:t xml:space="preserve">Could</w:t>
            </w:r>
          </w:p>
        </w:tc>
        <w:tc>
          <w:tcPr>
            <w:tcW w:type="dxa" w:w="8200"/>
            <w:tcMar>
              <w:top w:w="30" w:type="dxa"/>
              <w:start w:w="60" w:type="dxa"/>
              <w:bottom w:w="30" w:type="dxa"/>
              <w:end w:w="60" w:type="dxa"/>
            </w:tcMar>
            <w:vAlign w:val="center"/>
          </w:tcPr>
          <w:p>
            <w:pPr>
              <w:spacing w:before="0" w:after="0"/>
            </w:pPr>
            <w:r>
              <w:rPr>
                <w:rFonts w:ascii="Arial" w:hAnsi="Arial" w:eastAsia="SimSun"/>
                <w:b w:val="0"/>
                <w:sz w:val="15"/>
              </w:rPr>
              <w:t xml:space="preserve">Central audit read model; event-burst test with queue-depth autoscaling; consumer-driven contract tests for every event.</w:t>
            </w:r>
          </w:p>
        </w:tc>
      </w:tr>
    </w:tbl>
    <w:p>
      <w:pPr>
        <w:spacing w:before="0" w:after="0" w:line="120" w:lineRule="exact"/>
      </w:pPr>
    </w:p>
    <w:p>
      <w:pPr>
        <w:keepLines w:val="0"/>
        <w:widowControl/>
        <w:spacing w:after="40"/>
      </w:pPr>
      <w:r>
        <w:rPr>
          <w:b w:val="0"/>
          <w:i w:val="0"/>
        </w:rPr>
        <w:t xml:space="preserve">Should items start only after all Must gates pass and are the first to be cut if the schedule slips. The project demonstrates a configured food-label compliance scenario and a platform-engineering method; it does not provide legal certification, multi-region HA, zero-downtime production migration or a general-purpose regulatory rules marketplace. The monolith is kept only as a regression oracle during extraction.</w:t>
      </w:r>
    </w:p>
    <w:p>
      <w:pPr>
        <w:pStyle w:val="Heading1"/>
      </w:pPr>
      <w:r>
        <w:rPr/>
        <w:t>7. Effort Estimates</w:t>
      </w:r>
    </w:p>
    <w:p>
      <w:pPr>
        <w:keepLines w:val="0"/>
        <w:widowControl/>
        <w:spacing w:after="40"/>
      </w:pPr>
      <w:r>
        <w:rPr>
          <w:b w:val="0"/>
          <w:i w:val="0"/>
        </w:rPr>
        <w:t xml:space="preserve">Total effort is about 50 man-days (about 10 per member). The official 8–20 Oct Project Conduct window is run as one two-week implementation cycle with three internal gates. Before Proposal Review the team does only reversible work: baseline analysis, architecture, contracts, and a throw-away Terraform spike of the empty staging environment, so that implementation starts on a working platform. Staging runs in DigitalOcean SGP1 at about USD 6–7 per day at list prices (three general nodes, one dedicated-CPU node, Managed MySQL with standby, load balancer, registry). It runs from Gate 1 to the presentation freeze and is destroyed afterwards, so the expected total is about USD 150, within the USD 200 DigitalOcean credit offered through the GitHub Student Developer Pack to eligible accounts.</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00"/>
        <w:gridCol w:w="2200"/>
        <w:gridCol w:w="6400"/>
      </w:tblGrid>
      <w:tr>
        <w:trPr>
          <w:cantSplit/>
          <w:tblHeader/>
        </w:trPr>
        <w:tc>
          <w:tcPr>
            <w:tcW w:type="dxa" w:w="15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Period</w:t>
            </w:r>
          </w:p>
        </w:tc>
        <w:tc>
          <w:tcPr>
            <w:tcW w:type="dxa" w:w="22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Stage</w:t>
            </w:r>
          </w:p>
        </w:tc>
        <w:tc>
          <w:tcPr>
            <w:tcW w:type="dxa" w:w="64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Main work and exit criteria</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22 Sep – 7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Proposal &amp; architecture</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Baseline frozen at a3520e1; context map; OpenAPI and event schemas v1; test plan; Terraform spike.</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8 – 11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Gate 1: platform skeleton</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Starter; Spring Cloud Gateway + Keycloak; DOKS, Managed MySQL and RabbitMQ staging; CI deploys a skeleton of every service.</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12 – 16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Gate 2: services</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Four services on their own schemas; organisation model; stored procedures rewritten; review/approval/publication APIs; events flowing; equivalence tests pass.</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17 – 20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Gate 3: impact &amp; evidence</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Two-phase impact end to end on staging; load and failover runs; Should items if Gates 1–2 are green; progress report.</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SimSun"/>
                <w:b w:val="0"/>
                <w:sz w:val="15"/>
              </w:rPr>
              <w:t xml:space="preserve">21 – 26 Oct</w:t>
            </w:r>
          </w:p>
        </w:tc>
        <w:tc>
          <w:tcPr>
            <w:tcW w:type="dxa" w:w="2200"/>
            <w:tcMar>
              <w:top w:w="30" w:type="dxa"/>
              <w:start w:w="60" w:type="dxa"/>
              <w:bottom w:w="30" w:type="dxa"/>
              <w:end w:w="60" w:type="dxa"/>
            </w:tcMar>
            <w:vAlign w:val="center"/>
          </w:tcPr>
          <w:p>
            <w:pPr>
              <w:keepNext/>
              <w:spacing w:before="0" w:after="0"/>
            </w:pPr>
            <w:r>
              <w:rPr>
                <w:rFonts w:ascii="Arial" w:hAnsi="Arial" w:eastAsia="SimSun"/>
                <w:b w:val="0"/>
                <w:sz w:val="15"/>
              </w:rPr>
              <w:t xml:space="preserve">Presentation freeze</w:t>
            </w:r>
          </w:p>
        </w:tc>
        <w:tc>
          <w:tcPr>
            <w:tcW w:type="dxa" w:w="6400"/>
            <w:tcMar>
              <w:top w:w="30" w:type="dxa"/>
              <w:start w:w="60" w:type="dxa"/>
              <w:bottom w:w="30" w:type="dxa"/>
              <w:end w:w="60" w:type="dxa"/>
            </w:tcMar>
            <w:vAlign w:val="center"/>
          </w:tcPr>
          <w:p>
            <w:pPr>
              <w:keepNext/>
              <w:spacing w:before="0" w:after="0"/>
            </w:pPr>
            <w:r>
              <w:rPr>
                <w:rFonts w:ascii="Arial" w:hAnsi="Arial" w:eastAsia="SimSun"/>
                <w:b w:val="0"/>
                <w:sz w:val="15"/>
              </w:rPr>
              <w:t xml:space="preserve">Regression, final measured runs, demo rehearsal and presentation.</w:t>
            </w:r>
          </w:p>
        </w:tc>
      </w:tr>
      <w:tr>
        <w:trPr>
          <w:cantSplit/>
        </w:trPr>
        <w:tc>
          <w:tcPr>
            <w:tcW w:type="dxa" w:w="1500"/>
            <w:tcMar>
              <w:top w:w="30" w:type="dxa"/>
              <w:start w:w="60" w:type="dxa"/>
              <w:bottom w:w="30" w:type="dxa"/>
              <w:end w:w="60" w:type="dxa"/>
            </w:tcMar>
            <w:vAlign w:val="center"/>
          </w:tcPr>
          <w:p>
            <w:pPr>
              <w:spacing w:before="0" w:after="0"/>
            </w:pPr>
            <w:r>
              <w:rPr>
                <w:rFonts w:ascii="Arial" w:hAnsi="Arial" w:eastAsia="SimSun"/>
                <w:b w:val="0"/>
                <w:sz w:val="15"/>
              </w:rPr>
              <w:t xml:space="preserve">27 Oct – 16 Nov</w:t>
            </w:r>
          </w:p>
        </w:tc>
        <w:tc>
          <w:tcPr>
            <w:tcW w:type="dxa" w:w="2200"/>
            <w:tcMar>
              <w:top w:w="30" w:type="dxa"/>
              <w:start w:w="60" w:type="dxa"/>
              <w:bottom w:w="30" w:type="dxa"/>
              <w:end w:w="60" w:type="dxa"/>
            </w:tcMar>
            <w:vAlign w:val="center"/>
          </w:tcPr>
          <w:p>
            <w:pPr>
              <w:spacing w:before="0" w:after="0"/>
            </w:pPr>
            <w:r>
              <w:rPr>
                <w:rFonts w:ascii="Arial" w:hAnsi="Arial" w:eastAsia="SimSun"/>
                <w:b w:val="0"/>
                <w:sz w:val="15"/>
              </w:rPr>
              <w:t xml:space="preserve">Final report</w:t>
            </w:r>
          </w:p>
        </w:tc>
        <w:tc>
          <w:tcPr>
            <w:tcW w:type="dxa" w:w="6400"/>
            <w:tcMar>
              <w:top w:w="30" w:type="dxa"/>
              <w:start w:w="60" w:type="dxa"/>
              <w:bottom w:w="30" w:type="dxa"/>
              <w:end w:w="60" w:type="dxa"/>
            </w:tcMar>
            <w:vAlign w:val="center"/>
          </w:tcPr>
          <w:p>
            <w:pPr>
              <w:spacing w:before="0" w:after="0"/>
            </w:pPr>
            <w:r>
              <w:rPr>
                <w:rFonts w:ascii="Arial" w:hAnsi="Arial" w:eastAsia="SimSun"/>
                <w:b w:val="0"/>
                <w:sz w:val="15"/>
              </w:rPr>
              <w:t xml:space="preserve">Presentation feedback; measured results, decisions and limitations.</w:t>
            </w:r>
          </w:p>
        </w:tc>
      </w:tr>
    </w:tbl>
    <w:p>
      <w:pPr>
        <w:spacing w:before="0" w:after="0" w:line="120" w:lineRule="exact"/>
      </w:pP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900"/>
        <w:gridCol w:w="1100"/>
        <w:gridCol w:w="2100"/>
      </w:tblGrid>
      <w:tr>
        <w:trPr>
          <w:cantSplit/>
          <w:tblHeader/>
        </w:trPr>
        <w:tc>
          <w:tcPr>
            <w:tcW w:type="dxa" w:w="69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WBS task</w:t>
            </w:r>
          </w:p>
        </w:tc>
        <w:tc>
          <w:tcPr>
            <w:tcW w:type="dxa" w:w="11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Tier</w:t>
            </w:r>
          </w:p>
        </w:tc>
        <w:tc>
          <w:tcPr>
            <w:tcW w:type="dxa" w:w="2100"/>
            <w:shd w:val="clear" w:color="auto" w:fill="EEEEEE"/>
            <w:tcMar>
              <w:top w:w="30" w:type="dxa"/>
              <w:start w:w="60" w:type="dxa"/>
              <w:bottom w:w="30" w:type="dxa"/>
              <w:end w:w="60" w:type="dxa"/>
            </w:tcMar>
            <w:vAlign w:val="center"/>
          </w:tcPr>
          <w:p>
            <w:pPr>
              <w:keepNext/>
              <w:spacing w:before="0" w:after="0"/>
            </w:pPr>
            <w:r>
              <w:rPr>
                <w:rFonts w:ascii="Arial" w:hAnsi="Arial" w:eastAsia="SimSun"/>
                <w:b/>
                <w:sz w:val="15"/>
              </w:rPr>
              <w:t xml:space="preserve">Man-days</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Baseline and domain analysis, boundaries, contracts, staging spike</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Service starter, Spring Cloud Gateway, Keycloak and organisation claims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5</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Service extraction, schema split, organisation model</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8</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Stored-procedure rewrite, equivalence tests, review/approval/publication APIs and screens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7</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Outbox, RabbitMQ, four events, projections, idempotent consumers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5</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Two-phase impact analysis (core domain)</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4</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DigitalOcean staging as code (Terraform, Helm, operators) and observability baseline</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6</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Per-service CI/CD and security gates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Load and failover experiments (dataset, k6 scripts, runs)</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End-to-end demo, presentation and final report</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2</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SimSun"/>
                <w:b w:val="0"/>
                <w:sz w:val="15"/>
              </w:rPr>
              <w:t xml:space="preserve">Autoscaling, partner client, Notification via Golden Path, tracing</w:t>
            </w:r>
          </w:p>
        </w:tc>
        <w:tc>
          <w:tcPr>
            <w:tcW w:type="dxa" w:w="1100"/>
            <w:tcMar>
              <w:top w:w="30" w:type="dxa"/>
              <w:start w:w="60" w:type="dxa"/>
              <w:bottom w:w="30" w:type="dxa"/>
              <w:end w:w="60" w:type="dxa"/>
            </w:tcMar>
            <w:vAlign w:val="center"/>
          </w:tcPr>
          <w:p>
            <w:pPr>
              <w:keepNext/>
              <w:spacing w:before="0" w:after="0"/>
            </w:pPr>
            <w:r>
              <w:rPr>
                <w:rFonts w:ascii="Arial" w:hAnsi="Arial" w:eastAsia="SimSun"/>
                <w:b w:val="0"/>
                <w:sz w:val="15"/>
              </w:rPr>
              <w:t xml:space="preserve">Should</w:t>
            </w:r>
          </w:p>
        </w:tc>
        <w:tc>
          <w:tcPr>
            <w:tcW w:type="dxa" w:w="2100"/>
            <w:tcMar>
              <w:top w:w="30" w:type="dxa"/>
              <w:start w:w="60" w:type="dxa"/>
              <w:bottom w:w="30" w:type="dxa"/>
              <w:end w:w="60" w:type="dxa"/>
            </w:tcMar>
            <w:vAlign w:val="center"/>
          </w:tcPr>
          <w:p>
            <w:pPr>
              <w:keepNext/>
              <w:spacing w:before="0" w:after="0"/>
            </w:pPr>
            <w:r>
              <w:rPr>
                <w:rFonts w:ascii="Arial" w:hAnsi="Arial" w:eastAsia="SimSun"/>
                <w:b w:val="0"/>
                <w:sz w:val="15"/>
              </w:rPr>
              <w:t xml:space="preserve">4</w:t>
            </w:r>
          </w:p>
        </w:tc>
      </w:tr>
      <w:tr>
        <w:trPr>
          <w:cantSplit/>
        </w:trPr>
        <w:tc>
          <w:tcPr>
            <w:tcW w:type="dxa" w:w="6900"/>
            <w:tcMar>
              <w:top w:w="30" w:type="dxa"/>
              <w:start w:w="60" w:type="dxa"/>
              <w:bottom w:w="30" w:type="dxa"/>
              <w:end w:w="60" w:type="dxa"/>
            </w:tcMar>
            <w:vAlign w:val="center"/>
          </w:tcPr>
          <w:p>
            <w:pPr>
              <w:spacing w:before="0" w:after="0"/>
            </w:pPr>
            <w:r>
              <w:rPr>
                <w:rFonts w:ascii="Arial" w:hAnsi="Arial" w:eastAsia="SimSun"/>
                <w:b/>
                <w:sz w:val="15"/>
              </w:rPr>
              <w:t xml:space="preserve">Total</w:t>
            </w:r>
          </w:p>
        </w:tc>
        <w:tc>
          <w:tcPr>
            <w:tcW w:type="dxa" w:w="1100"/>
            <w:tcMar>
              <w:top w:w="30" w:type="dxa"/>
              <w:start w:w="60" w:type="dxa"/>
              <w:bottom w:w="30" w:type="dxa"/>
              <w:end w:w="60" w:type="dxa"/>
            </w:tcMar>
            <w:vAlign w:val="center"/>
          </w:tcPr>
          <w:p>
            <w:pPr>
              <w:spacing w:before="0" w:after="0"/>
            </w:pPr>
          </w:p>
        </w:tc>
        <w:tc>
          <w:tcPr>
            <w:tcW w:type="dxa" w:w="2100"/>
            <w:tcMar>
              <w:top w:w="30" w:type="dxa"/>
              <w:start w:w="60" w:type="dxa"/>
              <w:bottom w:w="30" w:type="dxa"/>
              <w:end w:w="60" w:type="dxa"/>
            </w:tcMar>
            <w:vAlign w:val="center"/>
          </w:tcPr>
          <w:p>
            <w:pPr>
              <w:spacing w:before="0" w:after="0"/>
            </w:pPr>
            <w:r>
              <w:rPr>
                <w:rFonts w:ascii="Arial" w:hAnsi="Arial" w:eastAsia="SimSun"/>
                <w:b/>
                <w:sz w:val="15"/>
              </w:rPr>
              <w:t xml:space="preserve">50</w:t>
            </w:r>
            <w:r>
              <w:rPr>
                <w:rFonts w:ascii="Arial" w:hAnsi="Arial" w:eastAsia="SimSun"/>
                <w:b w:val="0"/>
                <w:sz w:val="15"/>
              </w:rPr>
              <w:t xml:space="preserve"> (Must 46 + Should 4)</w:t>
            </w:r>
          </w:p>
        </w:tc>
      </w:tr>
    </w:tbl>
    <w:p>
      <w:pPr>
        <w:spacing w:before="0" w:after="0" w:line="120" w:lineRule="exact"/>
      </w:pPr>
    </w:p>
    <w:sectPr w:rsidR="00FC693F" w:rsidRPr="0006063C" w:rsidSect="00034616">
      <w:footerReference w:type="default" r:id="rId9"/>
      <w:pgSz w:w="11906" w:h="16838"/>
      <w:pgMar w:top="822" w:right="879" w:bottom="765" w:left="87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8" w:line="240" w:lineRule="auto"/>
    </w:pPr>
    <w:rPr>
      <w:rFonts w:ascii="Arial" w:hAnsi="Arial" w:eastAsia="SimSu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ascii="Arial" w:hAnsi="Arial" w:eastAsia="SimHei"/>
      <w:b/>
      <w:bCs/>
      <w:sz w:val="24"/>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rial" w:hAnsi="Arial" w:eastAsia="SimHei"/>
      <w:b/>
      <w:bCs/>
      <w:sz w:val="21"/>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rial" w:hAnsi="Arial" w:eastAsia="SimHe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100"/>
      <w:contextualSpacing/>
    </w:pPr>
    <w:rPr>
      <w:rFonts w:asciiTheme="majorHAnsi" w:eastAsiaTheme="majorEastAsia" w:hAnsiTheme="majorHAnsi" w:cstheme="majorBidi" w:ascii="Arial" w:hAnsi="Arial" w:eastAsia="SimHe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