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  <w:widowControl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/>
          <w:i w:val="0"/>
          <w:color w:val="auto"/>
          <w:sz w:val="49"/>
        </w:rPr>
        <w:t>校园通知智能转办助手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面向资源与环境科学学院的小范围试点，将学生主动提交的通知及附件转为有原文依据、经本人确认的个人待办。首版完成“提交—AI 提取—核对—保存—提醒—完成”，检验能否减少办理总耗时与遗漏；处理范围仅覆盖已提交材料。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两名开发成员交付同一产品中的通知处理智能体、手机网页工作台和个人待办看板，先跑通一则真实通知，再增加样本与功能。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来源、身份与学期管理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首批范围由真实通知确定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与发榜单位选取申请报名、材料报送、活动办理三类通知，核对附件和截图占比。首版一次处理一则通知及多份文字型 PDF／DOCX 附件，逐份显示解析状态，合并生成事项草稿。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195"/>
        <w:gridCol w:w="4093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来源／能力</w:t>
            </w:r>
          </w:p>
        </w:tc>
        <w:tc>
          <w:tcPr>
            <w:tcW w:type="dxa" w:w="4195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首版实现</w:t>
            </w:r>
          </w:p>
        </w:tc>
        <w:tc>
          <w:tcPr>
            <w:tcW w:type="dxa" w:w="409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替代与兜底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QQ、微信、公众号</w:t>
            </w:r>
          </w:p>
        </w:tc>
        <w:tc>
          <w:tcPr>
            <w:tcW w:type="dxa" w:w="419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学生复制文字、上传有权处理的附件，填写来源及原发布时间。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链接仅供回查；链接受限时补充正文，不以链接提交成功代替内容取得。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智慧珞珈、校内系统</w:t>
            </w:r>
          </w:p>
        </w:tc>
        <w:tc>
          <w:tcPr>
            <w:tcW w:type="dxa" w:w="419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学生主动提供获准处理的内容；身份条件自填。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自动读取另行申请接口权限；不索取学校密码或登录凭证。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附件与图片</w:t>
            </w:r>
          </w:p>
        </w:tc>
        <w:tc>
          <w:tcPr>
            <w:tcW w:type="dxa" w:w="4195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初始上限：同一通知 5 份附件、每份 5 MB、正文与提取文本合计 1 万字；同时校验模型输入上限。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加密、损坏、扫描件或无法可靠解析的复杂表格转待补充；允许补文字，单独记录人工兜底。</w:t>
            </w:r>
          </w:p>
        </w:tc>
      </w:tr>
    </w:tbl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上述工程上限以真实样本覆盖率调整。关键附件未提交、解析失败或疑似缺页时标为缺项，不生成“材料完整”结论；超限不得静默截断。若关键材料主要为图片，先验证识别入口，再定试点范围。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只保存判断所需的身份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学生按通知需要自填培养层次、年级、学院、专业及学期。产品账号不代表学籍认证；课程关系、成绩、困难认定等未知条件由本人核实，不额外收集证明材料。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通知如何转为个人行动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592"/>
        <w:gridCol w:w="4093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环节</w:t>
            </w:r>
          </w:p>
        </w:tc>
        <w:tc>
          <w:tcPr>
            <w:tcW w:type="dxa" w:w="459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最小实现</w:t>
            </w:r>
          </w:p>
        </w:tc>
        <w:tc>
          <w:tcPr>
            <w:tcW w:type="dxa" w:w="409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异常处理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保留依据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保存原件与来源；程序生成 PDF 页码、DOCX 段落或文本段落编号，区分正文和各附件。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乱码、缺页及解析失败提示补件；来源真实性由提交者核对。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提取事实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提取主题、适用对象、时间节点、办理事项、材料、提交方式、地点、联系方式；每项附原句及位置。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原文未给出则留空；正文与附件冲突时并列展示，不自行认定哪份有效。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判断与拆分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结合已填身份核对条件，将准备材料、签字盖章、报名、提交等拆为有依据的个人步骤。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区分本人提交与学院审核；不把他人的日期当本人截止时间，不添加原文没有的办理要求。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本人确认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原文与草稿同屏核对；确认本人事项、日期、材料、提交方与提醒时间后保存。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关键缺项阻止相关步骤的期限提醒；明确步骤可保存，也可自设“核实信息”提醒。</w:t>
            </w:r>
          </w:p>
        </w:tc>
      </w:tr>
    </w:tbl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程序检查字段结构、原句位置与日期合法性；引用存在不等于理解正确，仍须核对责任人和日期含义。缺少原发布时间的“明天”、缺少年份或起算事件的日期均待核实；“某日截止”不补造 23:59。正式期限、个人计划时间和提醒时间分开保存。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确认后才进入待办和提醒，重复点击不重复建项。同账号、同事项重复上传时提示复用，不自动合并不同批次或学期；补件重生成后由本人确认变更。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变更、取消与执行闭环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修改由本人确认，原依据可回查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待办分为待完成、已完成、已取消，逾期单独提示。完成不等于学校受理。更正、补件、取消关联原事项，经本人确认后更新，保留依据与前后值；旧页面或旧草稿不得覆盖新版本、已完成状态或个人备注。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撤回、转述与正式取消分开处理，未核实变更保留原期限并提示核实。首版不监测原渠道变更，不代办报名、材料提交或申请撤回。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以目标手机验证提醒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工作台提供列表、日期筛选与临期提示。优先导出 .ics 文件供学生导入日历；在目标手机验证新增、关闭页面／锁屏后提醒、改期和取消，通过后明确支持的手机、日历应用及设置组合。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日历导入是快照。工作台只记“已导出”及版本，不据此标记已导入或已提醒。改期、调整提醒或取消后提示同步，由本人修改／删除旧事件；重复导入不保证覆盖。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日历不可用时，仅切换到已授权且真机验证通过的 QQ／微信渠道。站内提示不代替页面关闭后的提醒；没有可用渠道时，仅达到通知整理原型阶段。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个性化服务与可行性判断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首版只回答“是否相关、本人做什么”，区分符合已知条件、不符合明确条件、待本人核实；部分符合不等于最终资格，可选事项由本人决定，不标为必办。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969"/>
        <w:gridCol w:w="4093"/>
      </w:tblGrid>
      <w:tr>
        <w:trPr>
          <w:tblHeader/>
          <w:cantSplit/>
        </w:trPr>
        <w:tc>
          <w:tcPr>
            <w:tcW w:type="dxa" w:w="204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功能</w:t>
            </w:r>
          </w:p>
        </w:tc>
        <w:tc>
          <w:tcPr>
            <w:tcW w:type="dxa" w:w="396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实现难度／首选路径</w:t>
            </w:r>
          </w:p>
        </w:tc>
        <w:tc>
          <w:tcPr>
            <w:tcW w:type="dxa" w:w="409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替代与兜底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正文及多附件提取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中；成熟解析组件配合一种获准使用的模型，逐文件校验后联合处理。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视觉识别待资源与样本验证后增加；人工补文字单独计入成本和失败统计。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身份判断与多节点拆分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中；固定字段、原文依据、条件核对和本人确认；难点为漏项与语义误判。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不明确条件保留待核实；允许修改草稿并记录纠错耗时。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待办与个人看板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低至中；同页显示待完成、临期、已完成数量及筛选。临期指未来 7 天内到期的未完成任务。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先完成列表；无明确日期的任务另列待核实，不计入临期。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页面关闭后的提醒</w:t>
            </w:r>
          </w:p>
        </w:tc>
        <w:tc>
          <w:tcPr>
            <w:tcW w:type="dxa" w:w="396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中，受设备及权限影响；优先验证日历导入。</w:t>
            </w:r>
          </w:p>
        </w:tc>
        <w:tc>
          <w:tcPr>
            <w:tcW w:type="dxa" w:w="409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只切换到已授权并验证的渠道；均不可用时暂停提醒功能验收。</w:t>
            </w:r>
          </w:p>
        </w:tc>
      </w:tr>
    </w:tbl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智能体与系统架构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一个固定流程完成处理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工作台提交 → 解析正文与附件 → 智能体提取与判断 → 程序校验 → 本人确认 → 保存待办 → 导出提醒。智能体执行固定通知处理流程，工作台承载交互，看板汇总个人待办；三类交付形式由发榜单位确认。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首版采用单一模型和固定步骤。模型只产草稿，无权建项、访问其他账号或执行外部操作；通知中的操作指令视为待处理内容。服务端校验本人确认请求后才写入并防止重复提交。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先落实资源，再确定部署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有模型 API 时，采用网页应用、服务端、数据库和私有文件目录，密钥仅存服务端。赛事平台实际具备模型调用、存储及访问控制时可复用；仅有聊天页面不等于具备这些能力。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模型超时、额度不足、结构错误或内容超限时，保留材料、显示失败，允许有限重试并记录调用和费用，不假报成功。模型资源未落实时，可开发页面与手工流程，AI 功能待验证。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记忆与上下文管理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保存最小账号资料、通知原件与文本、字段依据、待办、修改记录和导出版本。模型仅接收当前事项及必要身份，不建立长期聊天记忆、跨用户知识库或个人成长档案。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服务端按账号检查记录及附件访问权；文件不公开，普通日志不含通知、身份资料或密钥。试点前确认可处理材料、模型外发许可、留存期限及备份清理。未准外发的数据仅走获准校内路径，无该路径则不处理。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删除事项时清除正文、附件、草稿和任务，备份按约定期限清理；外部日历副本由本人删除。仅开放受邀账号，开放注册及社交绑定后置。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接口与数据需求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赛事支持的明确范围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《大赛通知》要求发榜／验证单位提供必要的数据、资源及技术指导，并安排相关培训；本榜题提供“数据、技术指导”。通知未明确模型 API、免费额度、服务器规格或托管权限。优秀项目资金与合规后的成果部署，不能当作已到位资源。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4535"/>
        <w:gridCol w:w="3470"/>
      </w:tblGrid>
      <w:tr>
        <w:trPr>
          <w:tblHeader/>
          <w:cantSplit/>
        </w:trPr>
        <w:tc>
          <w:tcPr>
            <w:tcW w:type="dxa" w:w="209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资源／接口</w:t>
            </w:r>
          </w:p>
        </w:tc>
        <w:tc>
          <w:tcPr>
            <w:tcW w:type="dxa" w:w="4535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落实条件</w:t>
            </w:r>
          </w:p>
        </w:tc>
        <w:tc>
          <w:tcPr>
            <w:tcW w:type="dxa" w:w="347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首版安排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真实通知与业务依据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发榜单位提供可处理样本、适用条件和试点对象，覆盖缺项、冲突及更正。</w:t>
            </w:r>
          </w:p>
        </w:tc>
        <w:tc>
          <w:tcPr>
            <w:tcW w:type="dxa" w:w="347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先确认三类事务及附件覆盖情况。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模型 API／平台流程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实际可调用；明确输入限制、额度、费用、有效期及数据去向。</w:t>
            </w:r>
          </w:p>
        </w:tc>
        <w:tc>
          <w:tcPr>
            <w:tcW w:type="dxa" w:w="347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优先对接赛事与学院资源；至少跑通一则带附件通知后定型。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运行与存储环境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多人试点具备可达服务、HTTPS、账号隔离和备份。</w:t>
            </w:r>
          </w:p>
        </w:tc>
        <w:tc>
          <w:tcPr>
            <w:tcW w:type="dxa" w:w="347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本机先验证；赛事托管、学院资源或团队环境经确认后择一。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QQ／微信／智慧珞珈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分别取得应用、用户、群或校方权限并完成实际联调。</w:t>
            </w:r>
          </w:p>
        </w:tc>
        <w:tc>
          <w:tcPr>
            <w:tcW w:type="dxa" w:w="347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自动取数后置；推送仅在需要且可用时启用。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个人日历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目标手机通过导入、提醒及变更测试；用户允许所需日历／通知权限。</w:t>
            </w:r>
          </w:p>
        </w:tc>
        <w:tc>
          <w:tcPr>
            <w:tcW w:type="dxa" w:w="347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导出本人事项，不读取原有日程。</w:t>
            </w:r>
          </w:p>
        </w:tc>
      </w:tr>
    </w:tbl>
    <w:p>
      <w:pPr>
        <w:pStyle w:val="165"/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接口地址、权限条件和官方文档冲突见《平台接口与权限调研_2026-10-11》。公开文档不代表本团队已获得账号权限；模型、程序、手机兼容与真实效果均待实施验证。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实施安排与协作支持</w:t>
      </w:r>
    </w:p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两人分工与推进顺序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成员 A 负责工作台、账号隔离、待办及日历导出；成员 B 负责附件解析、模型流程、原文依据与评测。两人共同复核关键日期和异常路径，发榜单位确认业务事实与试点效果。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102"/>
        <w:gridCol w:w="3186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</w:t>
            </w:r>
          </w:p>
        </w:tc>
        <w:tc>
          <w:tcPr>
            <w:tcW w:type="dxa" w:w="510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完成条件</w:t>
            </w:r>
          </w:p>
        </w:tc>
        <w:tc>
          <w:tcPr>
            <w:tcW w:type="dxa" w:w="3186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排期依据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资源与范围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落实模型、样本、目标手机和交付形式，确定输入格式及初始上限。</w:t>
            </w:r>
          </w:p>
        </w:tc>
        <w:tc>
          <w:tcPr>
            <w:tcW w:type="dxa" w:w="318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授权等待与开发时间分开记录。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单条完整流程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真实通知及附件完成解析、核对、保存、关闭重开与手机提醒。</w:t>
            </w:r>
          </w:p>
        </w:tc>
        <w:tc>
          <w:tcPr>
            <w:tcW w:type="dxa" w:w="318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以实际耗时修正后续排期。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最小功能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完成身份条件、多节点、补件、更正、取消、个人统计及错误恢复。</w:t>
            </w:r>
          </w:p>
        </w:tc>
        <w:tc>
          <w:tcPr>
            <w:tcW w:type="dxa" w:w="3186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按两人实际可投入时间安排。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场景验证</w:t>
            </w:r>
          </w:p>
        </w:tc>
        <w:tc>
          <w:tcPr>
            <w:tcW w:type="dxa" w:w="510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完成功能与对照测试，并累计不少于 5 天现场实践或场景验证，留存书面记录。</w:t>
            </w:r>
          </w:p>
        </w:tc>
        <w:tc>
          <w:tcPr>
            <w:tcW w:type="dxa" w:w="3186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需求与样本 1 天、原型 1 天、异常 1 天、试用复核 2 天，可与开发交叉。</w:t>
            </w:r>
          </w:p>
        </w:tc>
      </w:tr>
    </w:tbl>
    <w:p>
      <w:pPr>
        <w:pStyle w:val="4"/>
        <w:keepNext/>
        <w:widowControl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以实际测试确认可用与收益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拟定方案由发榜单位在测试前确认：至少 10 则真实通知用于调试，另冻结至少 20 则测试通知，覆盖三类事务、多附件、多节点、身份条件及异常；不据此推断全校准确率。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592"/>
        <w:gridCol w:w="3753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验证对象</w:t>
            </w:r>
          </w:p>
        </w:tc>
        <w:tc>
          <w:tcPr>
            <w:tcW w:type="dxa" w:w="459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正向与反向检查</w:t>
            </w:r>
          </w:p>
        </w:tc>
        <w:tc>
          <w:tcPr>
            <w:tcW w:type="dxa" w:w="375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widowControl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判定与记录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事实与个人任务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人工标注八类字段及任务；检查无日期、相对日期、他人日期、条件例外、附件冲突和漏件。</w:t>
            </w:r>
          </w:p>
        </w:tc>
        <w:tc>
          <w:tcPr>
            <w:tcW w:type="dxa" w:w="375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分别记录正确项／输出项、正确项／应有项、失败与人工补录；待核实内容单列。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办理与提醒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确认、保存重开、重复点击、补件改期、旧版本提交、取消、重复导入、关闭页面及锁屏提醒。</w:t>
            </w:r>
          </w:p>
        </w:tc>
        <w:tc>
          <w:tcPr>
            <w:tcW w:type="dxa" w:w="375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阻断问题和关键期限误配须修复并回归；未通过的设备不列为已支持。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权限与异常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账号间越权、附件猜址、模型断网／超时／额度不足、加密／超限文件、通知夹带操作指令。</w:t>
            </w:r>
          </w:p>
        </w:tc>
        <w:tc>
          <w:tcPr>
            <w:tcW w:type="dxa" w:w="375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拒绝越权；失败可识别、可恢复；不泄露密钥、不静默漏件、不重复建项。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实际收益</w:t>
            </w:r>
          </w:p>
        </w:tc>
        <w:tc>
          <w:tcPr>
            <w:tcW w:type="dxa" w:w="459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至少 5 名学生，以本项目、自行整理、通用 AI 三种方式各处理 2 则难度匹配的不同通知及其更正，轮换顺序。</w:t>
            </w:r>
          </w:p>
        </w:tc>
        <w:tc>
          <w:tcPr>
            <w:tcW w:type="dxa" w:w="375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widowControl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从读通知到正确待办与有效提醒全程计时；报告逐人差异、中位数、遗漏和失败。</w:t>
            </w:r>
          </w:p>
        </w:tc>
      </w:tr>
    </w:tbl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测试前冻结标注、计分与通过条件，八类字段分别统计。解析失败和人工兜底计入总样本，未完成或提醒失败不剔除；计时包含搬运、纠错、日历和更正成本。对照保持身份与提醒规则一致，尽量使用同一模型并记录差异。功能与收益分别判定，修正后用新增独立样本复测。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场景验证按实际开展日期留存参与者、样本、问题、修正及复测记录；两人同日参与不直接累计为两天。报名须于 2026 年 10 月 19 日 24:00 前，在武大数智教育平台上传负责人培养单位团委签字盖章、发榜单位填写确认意见后的报名表扫描 PDF。现有通知未给出开发结项日期；业务与资源首先对接发榜单位孙老师（027-68778381）。</w:t>
      </w:r>
    </w:p>
    <w:p>
      <w:pPr>
        <w:pStyle w:val="3"/>
        <w:keepNext/>
        <w:widowControl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后续拓展</w:t>
      </w:r>
    </w:p>
    <w:p>
      <w:pPr>
        <w:widowControl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首版通过后，按试点收益增加图片与复杂附件识别、QQ 定向提交、微信文件选择与订阅提醒、校内授权接口、发布方供稿及变更同步。课程日程、智能排程、材料复用、辅助决策、个性推荐与多智能体协作后置；每项独立核对权限、成本和实际收益。</w:t>
      </w:r>
    </w:p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3B584955-FBEA-5ED1-A023-F3B31614B47A}" w:subsetted="false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00F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979AC">
                          <w:pPr>
                            <w:pStyle w:val="24"/>
                            <w:rPr>
                              <w:color w:val="auto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979AC">
                    <w:pPr>
                      <w:pStyle w:val="24"/>
                      <w:rPr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w:embedTrueTypeFonts w:val="true"/>
  <w:saveSubsetFont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FZKai-Z03S" w:ascii="Times New Roman" w:hAnsi="Times New Roman" w:cs="Times New Roman"/>
        <w:b w:val="0"/>
        <w:i w:val="0"/>
        <w:color w:val="auto"/>
        <w:sz w:val="22"/>
        <w:iCs w:val="0"/>
        <w:bCs w:val="0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2"/>
      <w:lang w:val="en-US" w:eastAsia="en-US" w:bidi="ar-SA"/>
      <w:iCs w:val="0"/>
      <w:bCs w:val="0"/>
      <w:szCs w:val="22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firstLine="0" w:left="0" w:right="0"/>
      <w:jc w:val="left"/>
      <w:outlineLvl w:val="0"/>
    </w:pPr>
    <w:rPr>
      <w:rFonts w:eastAsia="FZKai-Z03S" w:ascii="Times New Roman" w:hAnsi="Times New Roman" w:cs="Times New Roman"/>
      <w:b w:val="1"/>
      <w:i w:val="0"/>
      <w:color w:val="auto"/>
      <w:sz w:val="44"/>
      <w:iCs w:val="0"/>
      <w:bCs w:val="1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firstLine="0" w:left="0" w:right="0"/>
      <w:jc w:val="left"/>
      <w:outlineLvl w:val="1"/>
    </w:pPr>
    <w:rPr>
      <w:rFonts w:eastAsia="FZKai-Z03S" w:ascii="Times New Roman" w:hAnsi="Times New Roman" w:cs="Times New Roman"/>
      <w:b w:val="1"/>
      <w:i w:val="0"/>
      <w:color w:val="auto"/>
      <w:sz w:val="24"/>
      <w:iCs w:val="0"/>
      <w:bCs w:val="1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firstLine="0" w:left="0" w:right="0"/>
      <w:jc w:val="center"/>
    </w:pPr>
    <w:rPr>
      <w:rFonts w:eastAsia="FZKai-Z03S" w:ascii="Times New Roman" w:hAnsi="Times New Roman" w:cs="Times New Roman"/>
      <w:b w:val="0"/>
      <w:i w:val="0"/>
      <w:color w:val="auto"/>
      <w:sz w:val="17"/>
      <w:iCs w:val="0"/>
      <w:bCs w:val="0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 w:before="0"/>
      <w:ind w:firstLine="0" w:left="0" w:right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pacing w:val="15"/>
      <w:sz w:val="22"/>
      <w:iCs w:val="0"/>
      <w:bCs w:val="0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firstLine="0" w:left="0" w:right="0"/>
      <w:contextualSpacing/>
      <w:jc w:val="center"/>
    </w:pPr>
    <w:rPr>
      <w:rFonts w:eastAsia="FZKai-Z03S" w:ascii="Times New Roman" w:hAnsi="Times New Roman" w:cs="Times New Roman"/>
      <w:b w:val="1"/>
      <w:i w:val="0"/>
      <w:color w:val="auto"/>
      <w:spacing w:val="5"/>
      <w:kern w:val="28"/>
      <w:sz w:val="49"/>
      <w:iCs w:val="0"/>
      <w:bCs w:val="1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after="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5">
    <w:name w:val="Note"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6">
    <w:name w:val="Reference"/>
    <w:uiPriority w:val="0"/>
    <w:pPr>
      <w:spacing w:after="14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506</Words>
  <Characters>509</Characters>
  <Lines>0</Lines>
  <Paragraphs>0</Paragraphs>
  <TotalTime>13</TotalTime>
  <ScaleCrop>false</ScaleCrop>
  <LinksUpToDate>false</LinksUpToDate>
  <CharactersWithSpaces>524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黄兴键</cp:lastModifiedBy>
  <dcterms:modified xsi:type="dcterms:W3CDTF">2026-10-08T01:52:37Z</dcterms:modified>
  <dc:subject>复核日期 2026-10-11</dc:subject>
  <dc:title>校园通知智能转办助手</dc:title>
  <cp:revision>1</cp:revision>
  <cp:keywords>用户文档格式,方正楷体,Times New Roman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