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keepNext/>
        <w:keepLines/>
        <w:spacing w:line="240" w:lineRule="auto" w:before="0" w:after="140"/>
        <w:ind w:firstLine="0" w:left="0" w:right="0"/>
        <w:jc w:val="center"/>
      </w:pPr>
      <w:r>
        <w:rPr>
          <w:rFonts w:eastAsia="FZKai-Z03S" w:ascii="Times New Roman" w:hAnsi="Times New Roman" w:cs="Times New Roman"/>
          <w:b/>
          <w:i w:val="0"/>
          <w:color w:val="auto"/>
          <w:sz w:val="49"/>
        </w:rPr>
        <w:t>校园通知智能转办助手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将分散通知及附件转为与本人相关、可执行、可调整的个人行动。学生通过手机工作台或小程序提交材料、管理待办与日历；项目方统一运行接入服务与智能体，主动同步、协作供稿和个人上传并行使用。</w:t>
      </w:r>
    </w:p>
    <w:p>
      <w:pPr>
        <w:pStyle w:val="15"/>
        <w:keepNext/>
        <w:spacing w:line="240" w:lineRule="auto" w:before="0" w:after="60"/>
        <w:ind w:firstLine="0" w:left="0" w:right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</w:r>
      <w:r>
        <w:drawing>
          <wp:inline xmlns:a="http://schemas.openxmlformats.org/drawingml/2006/main" xmlns:pic="http://schemas.openxmlformats.org/drawingml/2006/picture">
            <wp:extent cx="6156000" cy="41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多路接入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1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 w:val="0"/>
        <w:keepLines/>
        <w:spacing w:line="240" w:lineRule="auto" w:before="0" w:after="140"/>
        <w:ind w:firstLine="0" w:left="0" w:right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  <w:t>图 1　主动同步、协作供稿、个人上传独立可用，进入同一条处理链路。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309"/>
        <w:gridCol w:w="4082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来源</w:t>
            </w:r>
          </w:p>
        </w:tc>
        <w:tc>
          <w:tcPr>
            <w:tcW w:type="dxa" w:w="4309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接入方式</w:t>
            </w:r>
          </w:p>
        </w:tc>
        <w:tc>
          <w:tcPr>
            <w:tcW w:type="dxa" w:w="4082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常备补充入口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学校／学院官网</w:t>
            </w:r>
          </w:p>
        </w:tc>
        <w:tc>
          <w:tcPr>
            <w:tcW w:type="dxa" w:w="430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对接通知接口或获准访问的公开栏目，获取正文、附件及更新；校内系统通过授权接口接入。</w:t>
            </w:r>
          </w:p>
        </w:tc>
        <w:tc>
          <w:tcPr>
            <w:tcW w:type="dxa" w:w="408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粘贴单篇链接；上传正文、截图和附件。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微信公众号</w:t>
            </w:r>
          </w:p>
        </w:tc>
        <w:tc>
          <w:tcPr>
            <w:tcW w:type="dxa" w:w="430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由发布方授权文章接口、供稿，或关联可访问的官网同源稿。</w:t>
            </w:r>
          </w:p>
        </w:tc>
        <w:tc>
          <w:tcPr>
            <w:tcW w:type="dxa" w:w="408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学生提交单篇文章；负责人补充相关材料。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各类 QQ 群</w:t>
            </w:r>
          </w:p>
        </w:tc>
        <w:tc>
          <w:tcPr>
            <w:tcW w:type="dxa" w:w="430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通过获准入群的官方机器人接收授权范围内的群消息与附件，按群登记接入状态。</w:t>
            </w:r>
          </w:p>
        </w:tc>
        <w:tc>
          <w:tcPr>
            <w:tcW w:type="dxa" w:w="408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群内定向提交；未接入的群在工作台上传。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各类微信群</w:t>
            </w:r>
          </w:p>
        </w:tc>
        <w:tc>
          <w:tcPr>
            <w:tcW w:type="dxa" w:w="430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以学生主动提交、班委或组织负责人协作供稿为常备链路。</w:t>
            </w:r>
          </w:p>
        </w:tc>
        <w:tc>
          <w:tcPr>
            <w:tcW w:type="dxa" w:w="408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复制文字、批量截图、选择聊天文件。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门户／教学平台等</w:t>
            </w:r>
          </w:p>
        </w:tc>
        <w:tc>
          <w:tcPr>
            <w:tcW w:type="dxa" w:w="4309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按实际授权对接；邮件、短信和线下信息也可由本人提交。</w:t>
            </w:r>
          </w:p>
        </w:tc>
        <w:tc>
          <w:tcPr>
            <w:tcW w:type="dxa" w:w="4082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上传导出文件或截图；转述信息标记待核实。</w:t>
            </w:r>
          </w:p>
        </w:tc>
      </w:tr>
    </w:tbl>
    <w:p>
      <w:pPr>
        <w:pStyle w:val="165"/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交付包括智能体服务、个人工作台、来源与办理看板。工作台集中呈现收件箱、待核实事项、待办、日历、目标与材料；发布者可维护通知和更正，来源看板展示同步状态及覆盖缺口。</w:t>
      </w:r>
    </w:p>
    <w:p>
      <w:pPr>
        <w:pStyle w:val="3"/>
        <w:keepNext/>
        <w:keepLines/>
        <w:pageBreakBefore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来源、身份与学期管理</w:t>
      </w:r>
    </w:p>
    <w:p>
      <w:pPr>
        <w:pStyle w:val="4"/>
        <w:keepNext/>
        <w:keepLines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来源清单决定服务范围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每个来源记录平台、发布主体、学校／学院／组织、用途、可见范围、负责人、同步方式及最近成功时间。公众号分别记录“本人已关注／建议关注／已纳入产品清单”，并独立标明自动同步或手动补充状态。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483"/>
      </w:tblGrid>
      <w:tr>
        <w:trPr>
          <w:tblHeader/>
          <w:cantSplit/>
        </w:trPr>
        <w:tc>
          <w:tcPr>
            <w:tcW w:type="dxa" w:w="2608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来源情形</w:t>
            </w:r>
          </w:p>
        </w:tc>
        <w:tc>
          <w:tcPr>
            <w:tcW w:type="dxa" w:w="7483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处理规则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已关注的公众号</w:t>
            </w:r>
          </w:p>
        </w:tc>
        <w:tc>
          <w:tcPr>
            <w:tcW w:type="dxa" w:w="748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学生选填名称或提交文章链接，确认主体后加入清单；持续关联其后提交的文章与附件。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重要但未关注的公众号</w:t>
            </w:r>
          </w:p>
        </w:tc>
        <w:tc>
          <w:tcPr>
            <w:tcW w:type="dxa" w:w="748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根据学校官方目录、通知引用及本人目标推荐，说明相关原因，由本人选择是否加入清单。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学校、学院、组织及外部机构账号</w:t>
            </w:r>
          </w:p>
        </w:tc>
        <w:tc>
          <w:tcPr>
            <w:tcW w:type="dxa" w:w="748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分别登记发布权限与适用人群；组织通知用于本组织事务，学校考试等正式安排由相应有权主体确认。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年级／班级／课程／组织群</w:t>
            </w:r>
          </w:p>
        </w:tc>
        <w:tc>
          <w:tcPr>
            <w:tcW w:type="dxa" w:w="748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QQ 与微信分别登记，同名群仍独立管理。老师是否在群只影响核实联系人；无机器人、无老师的群也可通过个人上传使用。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当前课程、旧课程、复用课程群</w:t>
            </w:r>
          </w:p>
        </w:tc>
        <w:tc>
          <w:tcPr>
            <w:tcW w:type="dxa" w:w="7483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绑定课程、教学班、学期及本人选课关系。跨学期复用群分开处理；本学期未选课时不派该课必办任务，补考、重修及补交等未结事项继续跟进。</w:t>
            </w:r>
          </w:p>
        </w:tc>
      </w:tr>
    </w:tbl>
    <w:p>
      <w:pPr>
        <w:pStyle w:val="4"/>
        <w:keepNext/>
        <w:keepLines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身份关联不依赖实名昵称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以产品账号关联个人状态，用户主动验证并关联 QQ 等平台账号。昵称仅用于展示，跨群、跨平台、同名和多账号分别处理。年级、专业、选课与目标可由本人填写；学校认证、群成员资格和材料共享权限独立记录。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姓名点名无法可靠对应时，仅向本人确认；不向群内公开个人判断结果。班委或组织负责人可维护获授权的来源、通知与成员关系，学生个人目标、简历及私聊材料由本人控制。</w:t>
      </w:r>
    </w:p>
    <w:p>
      <w:pPr>
        <w:pStyle w:val="4"/>
        <w:keepNext/>
        <w:keepLines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材料一次提交，缺项可以续补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使用路径为“打开收件入口—同批提交文字／截图／附件—查看事项卡”。首次选择群用途与学期后可复用；系统建议材料分组并拆分多条通知，只询问影响判断的缺项。每份材料显示已收到、已解析、缺件或失败，稍后补件仍关联原事项。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协作供稿可让授权成员复用一次整理结果；私聊与个人材料保持本人可见。离群、换班、学期结束或来源失效后复核关系；来源卡显示自动、手动、待接入或中断，以及未覆盖时段。同步失败时转为人工补充，历史材料按实际可得范围补齐。</w:t>
      </w:r>
    </w:p>
    <w:p>
      <w:pPr>
        <w:pStyle w:val="3"/>
        <w:keepNext/>
        <w:keepLines/>
        <w:pageBreakBefore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通知如何转为个人行动</w:t>
      </w:r>
    </w:p>
    <w:p>
      <w:pPr>
        <w:pStyle w:val="15"/>
        <w:keepNext/>
        <w:spacing w:line="240" w:lineRule="auto" w:before="0" w:after="60"/>
        <w:ind w:firstLine="0" w:left="0" w:right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</w:r>
      <w:r>
        <w:drawing>
          <wp:inline xmlns:a="http://schemas.openxmlformats.org/drawingml/2006/main" xmlns:pic="http://schemas.openxmlformats.org/drawingml/2006/picture">
            <wp:extent cx="6192000" cy="4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去重与更正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 w:val="0"/>
        <w:keepLines/>
        <w:spacing w:line="240" w:lineRule="auto" w:before="0" w:after="140"/>
        <w:ind w:firstLine="0" w:left="0" w:right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  <w:t>图 2　同一事务候选的核对分支；无匹配时新建事务，一则材料可含多类变化。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391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环节</w:t>
            </w:r>
          </w:p>
        </w:tc>
        <w:tc>
          <w:tcPr>
            <w:tcW w:type="dxa" w:w="8391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处理与约束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接收与复原</w:t>
            </w:r>
          </w:p>
        </w:tc>
        <w:tc>
          <w:tcPr>
            <w:tcW w:type="dxa" w:w="839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按消息标识、文件内容识别重复，保留原文、附件、发布时间及可见范围。解析时检查缺页、截断和缺失附件；“明天”等相对日期以原消息时间解释，无法确认时补问。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归并与更正</w:t>
            </w:r>
          </w:p>
        </w:tc>
        <w:tc>
          <w:tcPr>
            <w:tcW w:type="dxa" w:w="839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按事项、学年、批次、对象和发布主体查找关联；无匹配则新建。重复转发只补充来源，学院／班级附加要求按范围保留，正式更正更新相关事实；冲突进入核实流程。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抽取与个人判断</w:t>
            </w:r>
          </w:p>
        </w:tc>
        <w:tc>
          <w:tcPr>
            <w:tcW w:type="dxa" w:w="839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资格、责任人、正式时限、材料、提交入口、地点、联系方式均附原文位置。区分“本人必办／本人可选／仅知悉／不适用／待核实”；他人审核日期是依赖，不变成本人的提交任务。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生成行动</w:t>
            </w:r>
          </w:p>
        </w:tc>
        <w:tc>
          <w:tcPr>
            <w:tcW w:type="dxa" w:w="8391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每件行动明确做什么、谁来做、何时、交给谁、所需材料、前置条件、完成凭证及可编辑范围。报名、签字、盖章、提交、复核分步；未知只阻断依赖它的步骤。必办可按本人设置纳入，可选先由本人决定。</w:t>
            </w:r>
          </w:p>
        </w:tc>
      </w:tr>
    </w:tbl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事项卡可展开“判断理由—原文位置—原件”，支持纠错和补件。关键日期、适用对象、材料与提交方须与原文核对；日期不补造具体时分，无法辨认的内容进入待核实。与疑点无关的准备步骤可继续，避免因局部缺项停下全部任务。</w:t>
      </w:r>
    </w:p>
    <w:p>
      <w:pPr>
        <w:pStyle w:val="165"/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例如综合测评申请：学生提交、班级核查、学院审核分别建立责任与依赖；“公示后若干日”从实际公示时间计算。正式截止时间、学院提前收件时间与个人计划时间分别保存。</w:t>
      </w:r>
    </w:p>
    <w:p>
      <w:pPr>
        <w:pStyle w:val="3"/>
        <w:keepNext/>
        <w:keepLines/>
        <w:pageBreakBefore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变更、取消与执行闭环</w:t>
      </w:r>
    </w:p>
    <w:p>
      <w:pPr>
        <w:pStyle w:val="15"/>
        <w:keepNext/>
        <w:spacing w:line="240" w:lineRule="auto" w:before="0" w:after="60"/>
        <w:ind w:firstLine="0" w:left="0" w:right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</w:r>
      <w:r>
        <w:drawing>
          <wp:inline xmlns:a="http://schemas.openxmlformats.org/drawingml/2006/main" xmlns:pic="http://schemas.openxmlformats.org/drawingml/2006/picture">
            <wp:extent cx="5940000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变更分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 w:val="0"/>
        <w:keepLines/>
        <w:spacing w:line="240" w:lineRule="auto" w:before="0" w:after="140"/>
        <w:ind w:firstLine="0" w:left="0" w:right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  <w:t>图 3　个人决定、发布方更正和未证实消息进入不同路径。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252"/>
        <w:gridCol w:w="4422"/>
      </w:tblGrid>
      <w:tr>
        <w:trPr>
          <w:tblHeader/>
          <w:cantSplit/>
        </w:trPr>
        <w:tc>
          <w:tcPr>
            <w:tcW w:type="dxa" w:w="1417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谁能决定</w:t>
            </w:r>
          </w:p>
        </w:tc>
        <w:tc>
          <w:tcPr>
            <w:tcW w:type="dxa" w:w="4252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可变内容与处理</w:t>
            </w:r>
          </w:p>
        </w:tc>
        <w:tc>
          <w:tcPr>
            <w:tcW w:type="dxa" w:w="4422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边界与兜底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用户自己</w:t>
            </w:r>
          </w:p>
        </w:tc>
        <w:tc>
          <w:tcPr>
            <w:tcW w:type="dxa" w:w="425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准备时段、提醒、个人目标、优先级、可选事项参加意愿；可编辑、暂停、恢复或撤销个人改动。</w:t>
            </w:r>
          </w:p>
        </w:tc>
        <w:tc>
          <w:tcPr>
            <w:tcW w:type="dxa" w:w="442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保留正式期限与要求；必办事项可标记无法办理并求助，不能改成已获豁免。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发布方／有权机构</w:t>
            </w:r>
          </w:p>
        </w:tc>
        <w:tc>
          <w:tcPr>
            <w:tcW w:type="dxa" w:w="425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提前、延期、待定、地点或材料变动、名额变化、局部／全部取消及恢复。核验发布身份、事项及适用范围。</w:t>
            </w:r>
          </w:p>
        </w:tc>
        <w:tc>
          <w:tcPr>
            <w:tcW w:type="dxa" w:w="442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已证实事实及时更新；个人排程仅按既有授权调整，否则给出差异预览。老师不在群可查原站或由负责人核实。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尚不能确定</w:t>
            </w:r>
          </w:p>
        </w:tc>
        <w:tc>
          <w:tcPr>
            <w:tcW w:type="dxa" w:w="4252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转述、传言、来源冲突或仅消息被撤回。保留最后已证实事实并显著标疑。</w:t>
            </w:r>
          </w:p>
        </w:tc>
        <w:tc>
          <w:tcPr>
            <w:tcW w:type="dxa" w:w="4422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继续可逆准备，暂停依赖疑点的外部操作；提醒核实及原期限风险，提供原安排与备选安排。撤回消息不等于取消活动。</w:t>
            </w:r>
          </w:p>
        </w:tc>
      </w:tr>
    </w:tbl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更正沿“事实—行动—依赖—日历—提醒—材料”检查影响，保留已完成步骤、本人备注与锁定安排。提前须检查是否来得及；地点或方式变化重算通勤与材料；确定延期重排未完成步骤。多人或多端同时修改时核对最新状态，迟到的旧消息不得覆盖新安排。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确认取消时停发相关提醒，已报名／支付者新增撤回、退费核查等善后事项。延期未定使旧时间失效，改设核实提醒；候补、名额不足或审核拒绝提供等待、替代或申诉路径，不能自定规则。恢复须复核资格、资源与过期材料；部分取消或调课只改相关步骤／场次。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个人锁定不能维持已经失效的外部事实与提醒。完成记录保留，但更正使原成果不再适用时，相关步骤转待补正；变更预览同时列出新增、调整、失效和仍保留的内容。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办理状态随实际结果推进：待准备→办理中→已提交→待审核→办结；补件回到相关步骤。失败、逾期、放弃与外部取消分别记录。自报完成与正式回执分开；结果不明时先查询。已提交事项如需撤回，另走对应的正式流程。</w:t>
      </w:r>
    </w:p>
    <w:p>
      <w:pPr>
        <w:pStyle w:val="3"/>
        <w:keepNext/>
        <w:keepLines/>
        <w:pageBreakBefore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个性化服务与可行性判断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58"/>
        <w:gridCol w:w="4819"/>
      </w:tblGrid>
      <w:tr>
        <w:trPr>
          <w:tblHeader/>
          <w:cantSplit/>
        </w:trPr>
        <w:tc>
          <w:tcPr>
            <w:tcW w:type="dxa" w:w="1814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服务</w:t>
            </w:r>
          </w:p>
        </w:tc>
        <w:tc>
          <w:tcPr>
            <w:tcW w:type="dxa" w:w="3458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必要输入</w:t>
            </w:r>
          </w:p>
        </w:tc>
        <w:tc>
          <w:tcPr>
            <w:tcW w:type="dxa" w:w="4819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输出与跟进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通知办理</w:t>
            </w:r>
          </w:p>
        </w:tc>
        <w:tc>
          <w:tcPr>
            <w:tcW w:type="dxa" w:w="345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通知原文、本人条件、办理意愿</w:t>
            </w:r>
          </w:p>
        </w:tc>
        <w:tc>
          <w:tcPr>
            <w:tcW w:type="dxa" w:w="481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个人事项、材料清单、责任与期限；跟进提交、补件、公示及结果。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短期计划与行程</w:t>
            </w:r>
          </w:p>
        </w:tc>
        <w:tc>
          <w:tcPr>
            <w:tcW w:type="dxa" w:w="345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课表、已占时段、地点、通勤、可用时间和偏好</w:t>
            </w:r>
          </w:p>
        </w:tc>
        <w:tc>
          <w:tcPr>
            <w:tcW w:type="dxa" w:w="481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日／周计划、出发与准备提醒、冲突取舍；临时没空只重排可移动部分。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考试与学习</w:t>
            </w:r>
          </w:p>
        </w:tc>
        <w:tc>
          <w:tcPr>
            <w:tcW w:type="dxa" w:w="345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本学期选课、考试安排、考核要求、复习进度</w:t>
            </w:r>
          </w:p>
        </w:tc>
        <w:tc>
          <w:tcPr>
            <w:tcW w:type="dxa" w:w="481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考试卡、复习分解、报名与材料检查；调考、补考、缓考按正式依据更新。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填报与申请</w:t>
            </w:r>
          </w:p>
        </w:tc>
        <w:tc>
          <w:tcPr>
            <w:tcW w:type="dxa" w:w="345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申请规则、表格、本人确认资料、附件规范</w:t>
            </w:r>
          </w:p>
        </w:tc>
        <w:tc>
          <w:tcPr>
            <w:tcW w:type="dxa" w:w="481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逐字段草稿及出处、缺件与格式检查；签字盖章单列，预览后由本人提交并留回执。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求职与实习</w:t>
            </w:r>
          </w:p>
        </w:tc>
        <w:tc>
          <w:tcPr>
            <w:tcW w:type="dxa" w:w="345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本人目标、简历、已验证岗位、投递和面试状态</w:t>
            </w:r>
          </w:p>
        </w:tc>
        <w:tc>
          <w:tcPr>
            <w:tcW w:type="dxa" w:w="481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岗位条件差距、准备计划、投递清单与面试安排；岗位关闭或面试改期触发替代建议。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活动与团队协作</w:t>
            </w:r>
          </w:p>
        </w:tc>
        <w:tc>
          <w:tcPr>
            <w:tcW w:type="dxa" w:w="345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参加条件、名额、本人选择、成员授权与分工</w:t>
            </w:r>
          </w:p>
        </w:tc>
        <w:tc>
          <w:tcPr>
            <w:tcW w:type="dxa" w:w="481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报名及现场任务、共同里程碑、责任交接；缺人、候补和取消分别处理。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升学与长期发展</w:t>
            </w:r>
          </w:p>
        </w:tc>
        <w:tc>
          <w:tcPr>
            <w:tcW w:type="dxa" w:w="345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目标、阶段、课程及能力记录、时间预算</w:t>
            </w:r>
          </w:p>
        </w:tc>
        <w:tc>
          <w:tcPr>
            <w:tcW w:type="dxa" w:w="481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目标拆到月／周行动；提供可行、需补条件或当前不可行的依据，不凭空给录取／录用概率。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生活事务</w:t>
            </w:r>
          </w:p>
        </w:tc>
        <w:tc>
          <w:tcPr>
            <w:tcW w:type="dxa" w:w="3458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缴费、宿舍、取件、场馆等可靠通知及本人需求</w:t>
            </w:r>
          </w:p>
        </w:tc>
        <w:tc>
          <w:tcPr>
            <w:tcW w:type="dxa" w:w="4819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归集办理窗口与材料；只提供可核实的办理路径，支付、预约取消等保留本人控制。</w:t>
            </w:r>
          </w:p>
        </w:tc>
      </w:tr>
    </w:tbl>
    <w:p>
      <w:pPr>
        <w:pStyle w:val="4"/>
        <w:keepNext/>
        <w:keepLines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所有领域共用一张个人任务图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课程、考试、活动、求职与个人目标共用时间安排，可复用材料关联到同一份个人档案。各领域均明确所需信息、判断规则、办理步骤与结果记录。缺少课表或通勤信息时列出计划假设，补齐后重新检查冲突。</w:t>
      </w:r>
    </w:p>
    <w:p>
      <w:pPr>
        <w:pStyle w:val="4"/>
        <w:keepNext/>
        <w:keepLines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排程由约束计算，智能体解释与协商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正式期限、固定课程、前置依赖和本人锁定事项作为硬约束；偏好时段、休息、通勤、预计耗时与缓冲共同参与排程。耗时不确定时给出区间。若时间不足或依赖第三方审核，说明受阻条件，提出减量、替代、请假或申请延期等方案，由本人选择。</w:t>
      </w:r>
    </w:p>
    <w:p>
      <w:pPr>
        <w:pStyle w:val="4"/>
        <w:keepNext/>
        <w:keepLines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同一目标遭遇变化时的帮助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例如面试与考试冲突：保留考试事实，提出申请改面试时间、减少非必要准备或改投其他岗位；用户确认前不向招聘方发消息。面试随后取消时，停用对应行程与提醒，保留已准备的简历，转为跟进原因或备选岗位；其他考试、课程和已完成步骤保持独立。</w:t>
      </w:r>
    </w:p>
    <w:p>
      <w:pPr>
        <w:pStyle w:val="4"/>
        <w:keepNext/>
        <w:keepLines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提醒必须看得到状态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站内待办持续可见，QQ、微信订阅消息及其他提醒按本人授权启用；展示待发、发送成功、失败与本人确认状态。推送失败时保留站内提示，并提供日历或其他已启用渠道。支持静默时段、合并摘要及重要变更提醒。</w:t>
      </w:r>
    </w:p>
    <w:p>
      <w:pPr>
        <w:pStyle w:val="165"/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外部日历按事件标识同步新增、修改和取消，并显示同步结果。采用一次性日历文件导入时，后续变更提供改动清单，由本人确认更新。</w:t>
      </w:r>
    </w:p>
    <w:p>
      <w:pPr>
        <w:pStyle w:val="3"/>
        <w:keepNext/>
        <w:keepLines/>
        <w:pageBreakBefore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智能体协作架构</w:t>
      </w:r>
    </w:p>
    <w:p>
      <w:pPr>
        <w:pStyle w:val="15"/>
        <w:keepNext/>
        <w:spacing w:line="240" w:lineRule="auto" w:before="0" w:after="60"/>
        <w:ind w:firstLine="0" w:left="0" w:right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</w:r>
      <w:r>
        <w:drawing>
          <wp:inline xmlns:a="http://schemas.openxmlformats.org/drawingml/2006/main" xmlns:pic="http://schemas.openxmlformats.org/drawingml/2006/picture">
            <wp:extent cx="6192000" cy="412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智能体协作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 w:val="0"/>
        <w:keepLines/>
        <w:spacing w:line="240" w:lineRule="auto" w:before="0" w:after="140"/>
        <w:ind w:firstLine="0" w:left="0" w:right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  <w:t>图 4　同伴协作经总线；核验通过后方可执行，未通过回原任务补正。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8164"/>
      </w:tblGrid>
      <w:tr>
        <w:trPr>
          <w:tblHeader/>
          <w:cantSplit/>
        </w:trPr>
        <w:tc>
          <w:tcPr>
            <w:tcW w:type="dxa" w:w="1928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角色</w:t>
            </w:r>
          </w:p>
        </w:tc>
        <w:tc>
          <w:tcPr>
            <w:tcW w:type="dxa" w:w="8164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负责的产物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协调</w:t>
            </w:r>
          </w:p>
        </w:tc>
        <w:tc>
          <w:tcPr>
            <w:tcW w:type="dxa" w:w="816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拆任务、选择参与者、维护依赖、汇集冲突，只向用户提出必要的合并问题。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证据／适配</w:t>
            </w:r>
          </w:p>
        </w:tc>
        <w:tc>
          <w:tcPr>
            <w:tcW w:type="dxa" w:w="816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证据智能体整理原文和更正；适配智能体逐条件判断相关性与资格，各自输出依据与未知。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规划／学业</w:t>
            </w:r>
          </w:p>
        </w:tc>
        <w:tc>
          <w:tcPr>
            <w:tcW w:type="dxa" w:w="816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规划智能体生成行动图并调用约束求解；学业智能体处理课程、考试与复习要求。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申办／发展</w:t>
            </w:r>
          </w:p>
        </w:tc>
        <w:tc>
          <w:tcPr>
            <w:tcW w:type="dxa" w:w="816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申办智能体生成有出处的表单与材料草稿；发展智能体处理求职、升学、活动和阶段目标。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核验／跟进</w:t>
            </w:r>
          </w:p>
        </w:tc>
        <w:tc>
          <w:tcPr>
            <w:tcW w:type="dxa" w:w="8164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核验智能体对照原件及规则检查，不以同伴结论充当证据；跟进智能体处理提醒、回执、补办和变化。</w:t>
            </w:r>
          </w:p>
        </w:tc>
      </w:tr>
    </w:tbl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协调智能体组织任务，专业智能体可互发请求，进行澄清、约束协商、复核与交接。消息关联具体任务、当前事实、权限、时限及返回结果；协调器控制参与角色、往返次数和运行预算，避免重复讨论与失控执行。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例如求职与考试安排冲突：发展智能体向学业智能体取得考试占用，适配智能体检查岗位资格；规划智能体汇合约束，申办智能体准备材料，核验智能体发现缺项后定向返工。通过后按用户授权执行，跟进智能体接续处理改期和回执。简单通知仅调用必要角色。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共同任务进度由统一工作流保存，事实与个人决定分别维护。中断后从已保存步骤恢复；取消时同步停止相关分支。智能体提出建议，核验与权限网关控制执行；重复请求不产生重复外部操作，结果不明时先查询。</w:t>
      </w:r>
    </w:p>
    <w:p>
      <w:pPr>
        <w:pStyle w:val="3"/>
        <w:keepNext/>
        <w:keepLines/>
        <w:pageBreakBefore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记忆与上下文管理</w:t>
      </w:r>
    </w:p>
    <w:p>
      <w:pPr>
        <w:pStyle w:val="15"/>
        <w:keepNext/>
        <w:spacing w:line="240" w:lineRule="auto" w:before="0" w:after="60"/>
        <w:ind w:firstLine="0" w:left="0" w:right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</w:r>
      <w:r>
        <w:drawing>
          <wp:inline xmlns:a="http://schemas.openxmlformats.org/drawingml/2006/main" xmlns:pic="http://schemas.openxmlformats.org/drawingml/2006/picture">
            <wp:extent cx="6120000" cy="4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记忆与上下文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 w:val="0"/>
        <w:keepLines/>
        <w:spacing w:line="240" w:lineRule="auto" w:before="0" w:after="140"/>
        <w:ind w:firstLine="0" w:left="0" w:right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  <w:t>图 5　按任务读取最少必要信息；写回先核对、按归属保存。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分区</w:t>
            </w:r>
          </w:p>
        </w:tc>
        <w:tc>
          <w:tcPr>
            <w:tcW w:type="dxa" w:w="8334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内容与生命周期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原文证据</w:t>
            </w:r>
          </w:p>
        </w:tc>
        <w:tc>
          <w:tcPr>
            <w:tcW w:type="dxa" w:w="833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通知、附件、字段出处、适用范围与更正关系；区分公开与受限资料。来源不可达时保留仍获授权的办理依据，撤权或删除按数据归属执行。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个人资料</w:t>
            </w:r>
          </w:p>
        </w:tc>
        <w:tc>
          <w:tcPr>
            <w:tcW w:type="dxa" w:w="833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本人确认的身份、选课、目标、偏好、材料授权；标记自报／已验证、生效与到期时间。跨学期或目标变化时复核。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任务状态</w:t>
            </w:r>
          </w:p>
        </w:tc>
        <w:tc>
          <w:tcPr>
            <w:tcW w:type="dxa" w:w="833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步骤、依赖、决定、锁定安排、工具执行记录、回执和恢复检查点；按任务隔离，结束后按保留策略归档或清理。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经验记录</w:t>
            </w:r>
          </w:p>
        </w:tc>
        <w:tc>
          <w:tcPr>
            <w:tcW w:type="dxa" w:w="8334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可复用的本人偏好和耗时区间须有来源；推断先作候选。群通知不能写成用户意愿，外部文本不能更改系统规则。</w:t>
            </w:r>
          </w:p>
        </w:tc>
      </w:tr>
    </w:tbl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每次任务只读取本人获授权、当前有效且与任务相关的信息，形成“目标＋本人决定＋约束＋相关原文＋未决问题＋允许操作”的上下文。短期讨论与长期资料分开，专业智能体仅获得履行职责所需内容。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长任务压缩重复讨论，保留原件位置、关键数字、否定条件及未决问题；必要时分段读取或拆分子任务。角色交接明确已完成内容、缺项与下一步；提交结果前复核最新通知和个人决定，防止沿用过时信息。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记忆写回先核对归属与来源：正式事实保留出处，长期偏好由本人确认，冲突内容等待核实。用户可查看、更正、撤权和删除个人资料；相关摘要、检索索引、缓存与进行中的任务同步处理，备份按约定周期清除。</w:t>
      </w:r>
    </w:p>
    <w:p>
      <w:pPr>
        <w:pStyle w:val="3"/>
        <w:keepNext/>
        <w:keepLines/>
        <w:pageBreakBefore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接口与数据需求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下表为拟对接需求与协作分工，具体范围按平台能力及授权确定。试点可先通过公开通知与人工导入运行完整流程，再逐步接入校内系统。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628"/>
        <w:gridCol w:w="2551"/>
        <w:gridCol w:w="2438"/>
      </w:tblGrid>
      <w:tr>
        <w:trPr>
          <w:tblHeader/>
          <w:cantSplit/>
        </w:trPr>
        <w:tc>
          <w:tcPr>
            <w:tcW w:type="dxa" w:w="1474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对接对象</w:t>
            </w:r>
          </w:p>
        </w:tc>
        <w:tc>
          <w:tcPr>
            <w:tcW w:type="dxa" w:w="3628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所需能力与数据</w:t>
            </w:r>
          </w:p>
        </w:tc>
        <w:tc>
          <w:tcPr>
            <w:tcW w:type="dxa" w:w="2551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协调方</w:t>
            </w:r>
          </w:p>
        </w:tc>
        <w:tc>
          <w:tcPr>
            <w:tcW w:type="dxa" w:w="2438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无接口时的路径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官网通知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通知列表、正文、附件、发布主体与时间、更新／撤回标记；保留稳定来源标识。</w:t>
            </w:r>
          </w:p>
        </w:tc>
        <w:tc>
          <w:tcPr>
            <w:tcW w:type="dxa" w:w="255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学校／学院网站管理方提供接口或公开栏目访问方式。</w:t>
            </w:r>
          </w:p>
        </w:tc>
        <w:tc>
          <w:tcPr>
            <w:tcW w:type="dxa" w:w="243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获准公开栏目读取；负责人供稿或学生上传。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公众号文章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获授权账号的文章、附件或原文链接、发布与更正信息。</w:t>
            </w:r>
          </w:p>
        </w:tc>
        <w:tc>
          <w:tcPr>
            <w:tcW w:type="dxa" w:w="255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公众号运营方授权或供稿，项目方接入。</w:t>
            </w:r>
          </w:p>
        </w:tc>
        <w:tc>
          <w:tcPr>
            <w:tcW w:type="dxa" w:w="243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单篇文章提交；关联官网同源稿。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QQ 群消息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获准范围内的消息事件、群与发送者标识、附件及可用的提醒反馈。</w:t>
            </w:r>
          </w:p>
        </w:tc>
        <w:tc>
          <w:tcPr>
            <w:tcW w:type="dxa" w:w="255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项目方申请机器人能力，试点群配合接入及授权告知。</w:t>
            </w:r>
          </w:p>
        </w:tc>
        <w:tc>
          <w:tcPr>
            <w:tcW w:type="dxa" w:w="243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定向投稿或工作台上传。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微信小程序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用户登录、选择图片／聊天文件、上传、订阅消息及投递状态。</w:t>
            </w:r>
          </w:p>
        </w:tc>
        <w:tc>
          <w:tcPr>
            <w:tcW w:type="dxa" w:w="255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项目方配置小程序，学生按需授权。</w:t>
            </w:r>
          </w:p>
        </w:tc>
        <w:tc>
          <w:tcPr>
            <w:tcW w:type="dxa" w:w="243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手机网页上传、站内待办与其他已启用提醒。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课程与考试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本人课程、教学班、学期、上课与考试时间地点及变更；以只读为主。</w:t>
            </w:r>
          </w:p>
        </w:tc>
        <w:tc>
          <w:tcPr>
            <w:tcW w:type="dxa" w:w="255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教务或教学平台管理方，教师协助对接。</w:t>
            </w:r>
          </w:p>
        </w:tc>
        <w:tc>
          <w:tcPr>
            <w:tcW w:type="dxa" w:w="243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导入本人课表、考试通知，补充确认。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统一身份认证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稳定用户标识、所属院系／年级及获准核验的身份属性。</w:t>
            </w:r>
          </w:p>
        </w:tc>
        <w:tc>
          <w:tcPr>
            <w:tcW w:type="dxa" w:w="255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校内认证服务管理方，教师协助对接。</w:t>
            </w:r>
          </w:p>
        </w:tc>
        <w:tc>
          <w:tcPr>
            <w:tcW w:type="dxa" w:w="243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独立产品账号；本人填写资料并标记验证状态。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报名／填报系统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按业务开放表单字段、材料规范、提交状态及回执；写入操作须单独授权。</w:t>
            </w:r>
          </w:p>
        </w:tc>
        <w:tc>
          <w:tcPr>
            <w:tcW w:type="dxa" w:w="255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业务主管单位与系统管理方；项目方适配。</w:t>
            </w:r>
          </w:p>
        </w:tc>
        <w:tc>
          <w:tcPr>
            <w:tcW w:type="dxa" w:w="243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生成材料草稿，由本人打开原系统办理并补充回执。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日历与提醒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本人授权的事件新增、修改、取消及同步结果；消息模板与送达反馈。</w:t>
            </w:r>
          </w:p>
        </w:tc>
        <w:tc>
          <w:tcPr>
            <w:tcW w:type="dxa" w:w="2551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项目方对接服务，学生选择启用。</w:t>
            </w:r>
          </w:p>
        </w:tc>
        <w:tc>
          <w:tcPr>
            <w:tcW w:type="dxa" w:w="2438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内置日历、站内提醒；导出日历文件并提示后续变更。</w:t>
            </w:r>
          </w:p>
        </w:tc>
      </w:tr>
    </w:tbl>
    <w:p>
      <w:pPr>
        <w:pStyle w:val="4"/>
        <w:keepNext/>
        <w:keepLines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项目团队配置的技术服务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文件与图片解析服务读取 PDF、Word、表格及截图；模型服务完成理解、结构化抽取和协作；检索、规则与排程服务负责关联、校验及约束计算。后端配置私有文件存储、数据库、持久任务队列、消息推送与运行监测，统一管理凭证和调用费用。</w:t>
      </w:r>
    </w:p>
    <w:p>
      <w:pPr>
        <w:pStyle w:val="4"/>
        <w:keepNext/>
        <w:keepLines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数据关联与更新要求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来源保留主体、权限及同步状态；原件关联具体事项、学期、批次和更正记录；个人行动关联本人条件、正式时限、计划时间、材料与回执。更正信息应尽量包含所指事项、生效时间、影响范围及核实联系人，便于自动更新受影响环节。</w:t>
      </w:r>
    </w:p>
    <w:p>
      <w:pPr>
        <w:pStyle w:val="3"/>
        <w:keepNext/>
        <w:keepLines/>
        <w:pageBreakBefore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实施安排与协作支持</w:t>
      </w:r>
    </w:p>
    <w:p>
      <w:pPr>
        <w:pStyle w:val="4"/>
        <w:keepNext/>
        <w:keepLines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按完整办理流程推进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535"/>
        <w:gridCol w:w="4082"/>
      </w:tblGrid>
      <w:tr>
        <w:trPr>
          <w:tblHeader/>
          <w:cantSplit/>
        </w:trPr>
        <w:tc>
          <w:tcPr>
            <w:tcW w:type="dxa" w:w="1474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阶段</w:t>
            </w:r>
          </w:p>
        </w:tc>
        <w:tc>
          <w:tcPr>
            <w:tcW w:type="dxa" w:w="4535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重点工作</w:t>
            </w:r>
          </w:p>
        </w:tc>
        <w:tc>
          <w:tcPr>
            <w:tcW w:type="dxa" w:w="4082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阶段产出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基础试点</w:t>
            </w:r>
          </w:p>
        </w:tc>
        <w:tc>
          <w:tcPr>
            <w:tcW w:type="dxa" w:w="4535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选定通知来源与学生样本，跑通手动多材料导入、通知判断、行动拆解、提醒及结果记录。</w:t>
            </w:r>
          </w:p>
        </w:tc>
        <w:tc>
          <w:tcPr>
            <w:tcW w:type="dxa" w:w="408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个人工作台、来源管理、可追溯事项卡与办理闭环。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接入扩展</w:t>
            </w:r>
          </w:p>
        </w:tc>
        <w:tc>
          <w:tcPr>
            <w:tcW w:type="dxa" w:w="4535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对接可获授权的官网、公众号及 QQ 来源，完善身份关联、课程学期、去重与更正。</w:t>
            </w:r>
          </w:p>
        </w:tc>
        <w:tc>
          <w:tcPr>
            <w:tcW w:type="dxa" w:w="408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多来源同步、覆盖状态看板、变更传播及人工兜底。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个性化协作</w:t>
            </w:r>
          </w:p>
        </w:tc>
        <w:tc>
          <w:tcPr>
            <w:tcW w:type="dxa" w:w="4535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加入课程、目标和材料管理，联动考试、求职、填报等任务；检验中断恢复与临时调整。</w:t>
            </w:r>
          </w:p>
        </w:tc>
        <w:tc>
          <w:tcPr>
            <w:tcW w:type="dxa" w:w="4082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协作智能体、个人计划、材料工作区与服务质量看板。</w:t>
            </w:r>
          </w:p>
        </w:tc>
      </w:tr>
    </w:tbl>
    <w:p>
      <w:pPr>
        <w:pStyle w:val="4"/>
        <w:keepNext/>
        <w:keepLines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贯穿实施的数据与操作边界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群信息采集、成员共享与个人材料分别授权；私密资料按用户及来源隔离，老师侧仅查看获授权的事项与必要统计。附件隔离解析，存储与传输加密，日志脱敏，用户可撤回授权并清理个人数据。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原文、附件和智能体消息不能自行扩大系统权限。外部提交、撤回及其他重要操作须展示对象、材料与影响，由本人确认；执行失败或结果不明时保留记录并查询，避免重复办理。来源或模型中断时，已存待办、提醒和人工导入继续可用。</w:t>
      </w:r>
    </w:p>
    <w:p>
      <w:pPr>
        <w:pStyle w:val="4"/>
        <w:keepNext/>
        <w:keepLines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需要协助提供的资源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824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支持事项</w:t>
            </w:r>
          </w:p>
        </w:tc>
        <w:tc>
          <w:tcPr>
            <w:tcW w:type="dxa" w:w="7824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所需内容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试点范围与通知样本</w:t>
            </w:r>
          </w:p>
        </w:tc>
        <w:tc>
          <w:tcPr>
            <w:tcW w:type="dxa" w:w="782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试点学院／班级／课程或组织；真实通知及附件，覆盖正常办理、重复转发、补充要求、取消延期等情形。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业务规则与核实联系人</w:t>
            </w:r>
          </w:p>
        </w:tc>
        <w:tc>
          <w:tcPr>
            <w:tcW w:type="dxa" w:w="782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适用人群、学生及老师责任、材料清单、各级收件要求、完成标准；指定更正与疑问的核实联系人。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接口与授权协调</w:t>
            </w:r>
          </w:p>
        </w:tc>
        <w:tc>
          <w:tcPr>
            <w:tcW w:type="dxa" w:w="782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通知发布平台、教务与认证等系统的对接联系人；确认可开放的数据、授权范围与接入方式。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试用与效果评价</w:t>
            </w:r>
          </w:p>
        </w:tc>
        <w:tc>
          <w:tcPr>
            <w:tcW w:type="dxa" w:w="7824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keepLines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招募自愿试用者，提供脱敏样本与业务判断反馈，比较整理时间、漏办误办、变更处理及用户操作负担。</w:t>
            </w:r>
          </w:p>
        </w:tc>
      </w:tr>
    </w:tbl>
    <w:p>
      <w:pPr>
        <w:pStyle w:val="4"/>
        <w:keepNext/>
        <w:keepLines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交付与评价</w:t>
      </w:r>
    </w:p>
    <w:p>
      <w:pPr>
        <w:keepNext w:val="0"/>
        <w:keepLines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交付智能体服务、学生个人工作台及来源与办理看板。重点验证：关键字段与个人匹配准确性、重复事项合并、取消延期传播、复杂计划可行性、办理用时及单事项成本。对照人工整理和单智能体方案，保留有实际收益的协作环节。</w:t>
      </w:r>
    </w:p>
    <w:sectPr>
      <w:footerReference r:id="rId5" w:type="default"/>
      <w:pgSz w:w="11906" w:h="16838"/>
      <w:pgMar w:top="918" w:right="901" w:bottom="924" w:left="901" w:header="369" w:footer="386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FZKai-Z03S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5C72B5DF-21EC-4FEC-9EAE-07279E9E8CD1}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keepNext w:val="0"/>
      <w:spacing w:line="240" w:lineRule="auto" w:before="0" w:after="0"/>
      <w:ind w:firstLine="0" w:left="0" w:right="0"/>
      <w:jc w:val="center"/>
    </w:pPr>
    <w:r>
      <w:rPr>
        <w:rFonts w:eastAsia="FZKai-Z03S" w:ascii="Times New Roman" w:hAnsi="Times New Roman" w:cs="Times New Roman"/>
        <w:b w:val="0"/>
        <w:i w:val="0"/>
        <w:color w:val="auto"/>
        <w:sz w:val="21"/>
      </w:rPr>
    </w:r>
    <w:r>
      <w:rPr>
        <w:rFonts w:eastAsia="FZKai-Z03S" w:ascii="Times New Roman" w:hAnsi="Times New Roman" w:cs="Times New Roman"/>
        <w:b w:val="0"/>
        <w:i w:val="0"/>
        <w:color w:val="auto"/>
        <w:sz w:val="21"/>
      </w:rPr>
      <w:fldChar w:fldCharType="begin"/>
    </w:r>
    <w:r>
      <w:rPr>
        <w:rFonts w:eastAsia="FZKai-Z03S" w:ascii="Times New Roman" w:hAnsi="Times New Roman" w:cs="Times New Roman"/>
        <w:b w:val="0"/>
        <w:i w:val="0"/>
        <w:color w:val="auto"/>
        <w:sz w:val="21"/>
      </w:rPr>
      <w:instrText xml:space="preserve"> PAGE </w:instrText>
    </w:r>
    <w:r>
      <w:rPr>
        <w:rFonts w:eastAsia="FZKai-Z03S" w:ascii="Times New Roman" w:hAnsi="Times New Roman" w:cs="Times New Roman"/>
        <w:b w:val="0"/>
        <w:i w:val="0"/>
        <w:color w:val="auto"/>
        <w:sz w:val="21"/>
      </w:rPr>
      <w:fldChar w:fldCharType="separate"/>
    </w:r>
    <w:r>
      <w:rPr>
        <w:rFonts w:eastAsia="FZKai-Z03S" w:ascii="Times New Roman" w:hAnsi="Times New Roman" w:cs="Times New Roman"/>
        <w:b w:val="0"/>
        <w:i w:val="0"/>
        <w:color w:val="auto"/>
        <w:sz w:val="21"/>
      </w:rPr>
      <w:t>1</w:t>
    </w:r>
    <w:r>
      <w:rPr>
        <w:rFonts w:eastAsia="FZKai-Z03S" w:ascii="Times New Roman" w:hAnsi="Times New Roman" w:cs="Times New Roman"/>
        <w:b w:val="0"/>
        <w:i w:val="0"/>
        <w:color w:val="auto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26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eastAsia="FZKai-Z03S" w:ascii="Times New Roman" w:hAnsi="Times New Roman" w:cs="Times New Roman"/>
        <w:b w:val="0"/>
        <w:i w:val="0"/>
        <w:color w:val="auto"/>
        <w:sz w:val="22"/>
        <w:iCs w:val="0"/>
        <w:bCs w:val="0"/>
        <w:szCs w:val="22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40" w:lineRule="auto" w:before="0"/>
      <w:ind w:firstLine="72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2"/>
      <w:lang w:val="en-US" w:eastAsia="en-US" w:bidi="ar-SA"/>
      <w:iCs w:val="0"/>
      <w:bCs w:val="0"/>
      <w:szCs w:val="22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40" w:line="240" w:lineRule="auto"/>
      <w:ind w:firstLine="0" w:left="0" w:right="0"/>
      <w:jc w:val="left"/>
      <w:outlineLvl w:val="0"/>
    </w:pPr>
    <w:rPr>
      <w:rFonts w:eastAsia="FZKai-Z03S" w:ascii="Times New Roman" w:hAnsi="Times New Roman" w:cs="Times New Roman"/>
      <w:b w:val="1"/>
      <w:i w:val="0"/>
      <w:color w:val="auto"/>
      <w:sz w:val="44"/>
      <w:iCs w:val="0"/>
      <w:bCs w:val="1"/>
      <w:szCs w:val="44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00" w:after="140" w:line="240" w:lineRule="auto"/>
      <w:ind w:firstLine="0" w:left="0" w:right="0"/>
      <w:jc w:val="left"/>
      <w:outlineLvl w:val="1"/>
    </w:pPr>
    <w:rPr>
      <w:rFonts w:eastAsia="FZKai-Z03S" w:ascii="Times New Roman" w:hAnsi="Times New Roman" w:cs="Times New Roman"/>
      <w:b w:val="1"/>
      <w:i w:val="0"/>
      <w:color w:val="auto"/>
      <w:sz w:val="24"/>
      <w:iCs w:val="0"/>
      <w:bCs w:val="1"/>
      <w:szCs w:val="24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0" w:after="140" w:line="240" w:lineRule="auto"/>
      <w:ind w:firstLine="0" w:left="0" w:right="0"/>
      <w:jc w:val="center"/>
    </w:pPr>
    <w:rPr>
      <w:rFonts w:eastAsia="FZKai-Z03S" w:ascii="Times New Roman" w:hAnsi="Times New Roman" w:cs="Times New Roman"/>
      <w:b w:val="0"/>
      <w:i w:val="0"/>
      <w:color w:val="auto"/>
      <w:sz w:val="17"/>
      <w:iCs w:val="0"/>
      <w:bCs w:val="0"/>
      <w:szCs w:val="17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 w:before="0"/>
      <w:ind w:firstLine="0" w:left="0" w:right="0"/>
    </w:pPr>
    <w:rPr>
      <w:rFonts w:ascii="Microsoft YaHei" w:hAnsi="Microsoft YaHei" w:eastAsia="Microsoft YaHei"/>
      <w:color w:val="526970"/>
      <w:sz w:val="16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526970"/>
      <w:sz w:val="16"/>
    </w:rPr>
  </w:style>
  <w:style w:type="paragraph" w:styleId="26">
    <w:name w:val="Subtitle"/>
    <w:basedOn w:val="1"/>
    <w:next w:val="1"/>
    <w:link w:val="142"/>
    <w:qFormat/>
    <w:uiPriority w:val="11"/>
    <w:pPr>
      <w:spacing w:before="0" w:after="140" w:line="240" w:lineRule="auto"/>
      <w:ind w:firstLine="72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pacing w:val="15"/>
      <w:sz w:val="22"/>
      <w:iCs w:val="0"/>
      <w:bCs w:val="0"/>
      <w:szCs w:val="22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40" w:line="240" w:lineRule="auto"/>
      <w:ind w:firstLine="0" w:left="0" w:right="0"/>
      <w:contextualSpacing/>
      <w:jc w:val="center"/>
    </w:pPr>
    <w:rPr>
      <w:rFonts w:eastAsia="FZKai-Z03S" w:ascii="Times New Roman" w:hAnsi="Times New Roman" w:cs="Times New Roman"/>
      <w:b w:val="1"/>
      <w:i w:val="0"/>
      <w:color w:val="auto"/>
      <w:spacing w:val="5"/>
      <w:kern w:val="28"/>
      <w:sz w:val="49"/>
      <w:iCs w:val="0"/>
      <w:bCs w:val="1"/>
      <w:szCs w:val="49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able Body"/>
    <w:uiPriority w:val="0"/>
    <w:pPr>
      <w:spacing w:after="0" w:line="240" w:lineRule="auto" w:before="0"/>
      <w:ind w:firstLine="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0"/>
      <w:lang w:val="en-US" w:eastAsia="en-US" w:bidi="ar-SA"/>
      <w:iCs w:val="0"/>
      <w:bCs w:val="0"/>
      <w:szCs w:val="20"/>
    </w:rPr>
  </w:style>
  <w:style w:type="paragraph" w:customStyle="1" w:styleId="165">
    <w:name w:val="Note"/>
    <w:uiPriority w:val="0"/>
    <w:pPr>
      <w:spacing w:after="140" w:line="240" w:lineRule="auto" w:before="0"/>
      <w:ind w:firstLine="72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0"/>
      <w:lang w:val="en-US" w:eastAsia="en-US" w:bidi="ar-SA"/>
      <w:iCs w:val="0"/>
      <w:bCs w:val="0"/>
      <w:szCs w:val="20"/>
    </w:rPr>
  </w:style>
  <w:style w:type="paragraph" w:customStyle="1" w:styleId="166">
    <w:name w:val="Reference"/>
    <w:uiPriority w:val="0"/>
    <w:pPr>
      <w:spacing w:after="140" w:line="240" w:lineRule="auto" w:before="0"/>
      <w:ind w:firstLine="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0"/>
      <w:lang w:val="en-US" w:eastAsia="en-US" w:bidi="ar-SA"/>
      <w:iCs w:val="0"/>
      <w:bCs w:val="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506</Words>
  <Characters>509</Characters>
  <Lines>0</Lines>
  <Paragraphs>0</Paragraphs>
  <TotalTime>13</TotalTime>
  <ScaleCrop>false</ScaleCrop>
  <LinksUpToDate>false</LinksUpToDate>
  <CharactersWithSpaces>524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cp:lastModifiedBy/>
  <dcterms:modified xsi:type="dcterms:W3CDTF">2026-10-08T01:52:37Z</dcterms:modified>
  <dc:subject>多源接入、事务更正、个性化行动与智能体协作</dc:subject>
  <dc:title>校园通知智能转办助手 项目设计方案</dc:title>
  <cp:revision>1</cp:revision>
  <cp:keywords>用户文档格式,方正楷体,Times New Roman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eyJoZGlkIjoiNGQzNGJjOTdkYTI3YTEzMGQ4YjNmZWM2Nzk5MDc1YjciLCJ1c2VySWQiOiIxNjYxNDMyNjA2In0=</vt:lpwstr>
  </property>
  <property fmtid="{D5CDD505-2E9C-101B-9397-08002B2CF9AE}" pid="3" name="KSOProductBuildVer">
    <vt:lpwstr>2052-12.1.0.23542</vt:lpwstr>
  </property>
  <property fmtid="{D5CDD505-2E9C-101B-9397-08002B2CF9AE}" pid="4" name="ICV">
    <vt:lpwstr>824C5349E9B54045AF30E83F2AC7BB79_12</vt:lpwstr>
  </property>
</Properties>
</file>