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/>
          <w:i w:val="0"/>
          <w:color w:val="auto"/>
          <w:sz w:val="49"/>
        </w:rPr>
        <w:t>校园通知智能转办助手</w:t>
        <w:br/>
        <w:t>项目方案（小米模型版）</w:t>
      </w:r>
    </w:p>
    <w:p>
      <w:pPr>
        <w:pStyle w:val="26"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模型配置更新：2026年10月14日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将分散通知及附件转为与本人相关、可执行、可调整的个人行动。学生通过手机工作台或小程序提交材料、管理待办与日历；项目方统一运行接入服务与智能体，主动同步、协作供稿和个人上传并行使用。</w:t>
      </w:r>
    </w:p>
    <w:p>
      <w:pPr>
        <w:pStyle w:val="15"/>
        <w:keepNext/>
        <w:spacing w:line="240" w:lineRule="auto" w:before="0" w:after="140"/>
        <w:ind w:left="0" w:right="0" w:firstLine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drawing>
          <wp:inline xmlns:a="http://schemas.openxmlformats.org/drawingml/2006/main" xmlns:pic="http://schemas.openxmlformats.org/drawingml/2006/picture">
            <wp:extent cx="6156000" cy="410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多路接入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41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1　主动同步、协作供稿、个人上传独立可用，进入同一条处理链路。</w:t>
      </w:r>
    </w:p>
    <w:tbl>
      <w:tblPr>
        <w:tblW w:type="dxa" w:w="10092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309"/>
        <w:gridCol w:w="4082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来源</w:t>
            </w:r>
          </w:p>
        </w:tc>
        <w:tc>
          <w:tcPr>
            <w:tcW w:type="dxa" w:w="430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接入方式</w:t>
            </w:r>
          </w:p>
        </w:tc>
        <w:tc>
          <w:tcPr>
            <w:tcW w:type="dxa" w:w="408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常备补充入口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学校／学院官网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对接通知接口或获准访问的公开栏目，获取正文、附件及更新；校内系统通过授权接口接入。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粘贴单篇链接；上传正文、截图和附件。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微信公众号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由发布方授权文章接口、供稿，或关联可访问的官网同源稿。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学生提交单篇文章；负责人补充相关材料。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各类 QQ 群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通过获准入群的官方机器人接收授权范围内的群消息与附件，按群登记接入状态。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群内定向提交；未接入的群在工作台上传。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各类微信群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以学生主动提交、班委或组织负责人协作供稿为常备链路。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复制文字、批量截图、选择聊天文件。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门户／教学平台等</w:t>
            </w:r>
          </w:p>
        </w:tc>
        <w:tc>
          <w:tcPr>
            <w:tcW w:type="dxa" w:w="430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按实际授权对接；邮件、短信和线下信息也可由本人提交。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上传导出文件或截图；转述信息标记待核实。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交付包括智能体服务、个人工作台、来源与办理看板。工作台集中呈现收件箱、待核实事项、待办、日历、目标与材料；发布者可维护通知和更正，来源看板展示同步状态及覆盖缺口。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来源、身份与学期管理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来源清单决定服务范围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每个来源记录平台、发布主体、学校／学院／组织、用途、可见范围、负责人、同步方式及最近成功时间。公众号分别记录“本人已关注／建议关注／已纳入产品清单”，并独立标明自动同步或手动补充状态。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7483"/>
      </w:tblGrid>
      <w:tr>
        <w:trPr>
          <w:tblHeader/>
          <w:cantSplit/>
        </w:trPr>
        <w:tc>
          <w:tcPr>
            <w:tcW w:type="dxa" w:w="260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来源情形</w:t>
            </w:r>
          </w:p>
        </w:tc>
        <w:tc>
          <w:tcPr>
            <w:tcW w:type="dxa" w:w="748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处理规则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已关注的公众号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学生选填名称或提交文章链接，确认主体后加入清单；持续关联其后提交的文章与附件。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重要但未关注的公众号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根据学校官方目录、通知引用及本人目标推荐，说明相关原因，由本人选择是否加入清单。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学校、学院、组织及外部机构账号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分别登记发布权限与适用人群；组织通知用于本组织事务，学校考试等正式安排由相应有权主体确认。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年级／班级／课程／组织群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与微信分别登记，同名群仍独立管理。老师是否在群只影响核实联系人；无机器人、无老师的群也可通过个人上传使用。</w:t>
            </w:r>
          </w:p>
        </w:tc>
      </w:tr>
      <w:tr>
        <w:trPr>
          <w:cantSplit/>
        </w:trPr>
        <w:tc>
          <w:tcPr>
            <w:tcW w:type="dxa" w:w="260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当前课程、旧课程、复用课程群</w:t>
            </w:r>
          </w:p>
        </w:tc>
        <w:tc>
          <w:tcPr>
            <w:tcW w:type="dxa" w:w="748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绑定课程、教学班、学期及本人选课关系。跨学期复用群分开处理；本学期未选课时不派该课必办任务，补考、重修及补交等未结事项继续跟进。</w:t>
            </w:r>
          </w:p>
        </w:tc>
      </w:tr>
    </w:tbl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身份关联不依赖实名昵称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以产品账号关联个人状态，用户主动验证并关联 QQ 等平台账号。昵称仅用于展示，跨群、跨平台、同名和多账号分别处理。年级、专业、选课与目标可由本人填写；学校认证、群成员资格和材料共享权限独立记录。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姓名点名无法可靠对应时，仅向本人确认；不向群内公开个人判断结果。班委或组织负责人可维护获授权的来源、通知与成员关系，学生个人目标、简历及私聊材料由本人控制。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材料一次提交，缺项可以续补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使用路径为“打开收件入口—同批提交文字／截图／附件—查看事项卡”。首次选择群用途与学期后可复用；系统建议材料分组并拆分多条通知，只询问影响判断的缺项。每份材料显示已收到、已解析、缺件或失败，稍后补件仍关联原事项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协作供稿可让授权成员复用一次整理结果；私聊与个人材料保持本人可见。离群、换班、学期结束或来源失效后复核关系；来源卡显示自动、手动、待接入或中断，以及未覆盖时段。同步失败时转为人工补充，历史材料按实际可得范围补齐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通知如何转为个人行动</w:t>
      </w:r>
    </w:p>
    <w:p>
      <w:pPr>
        <w:pStyle w:val="15"/>
        <w:keepNext/>
        <w:spacing w:line="240" w:lineRule="auto" w:before="0" w:after="140"/>
        <w:ind w:left="0" w:right="0" w:firstLine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drawing>
          <wp:inline xmlns:a="http://schemas.openxmlformats.org/drawingml/2006/main" xmlns:pic="http://schemas.openxmlformats.org/drawingml/2006/picture">
            <wp:extent cx="6192000" cy="412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去重与更正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2　同一事务候选的核对分支；无匹配时新建事务，一则材料可含多类变化。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390"/>
      </w:tblGrid>
      <w:tr>
        <w:trPr>
          <w:tblHeader/>
          <w:cantSplit/>
        </w:trPr>
        <w:tc>
          <w:tcPr>
            <w:tcW w:type="dxa" w:w="170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环节</w:t>
            </w:r>
          </w:p>
        </w:tc>
        <w:tc>
          <w:tcPr>
            <w:tcW w:type="dxa" w:w="8390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处理与约束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接收与复原</w:t>
            </w:r>
          </w:p>
        </w:tc>
        <w:tc>
          <w:tcPr>
            <w:tcW w:type="dxa" w:w="839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按消息标识、文件内容识别重复，保留原文、附件、发布时间及可见范围。解析时检查缺页、截断和缺失附件；“明天”等相对日期以原消息时间解释，无法确认时补问。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归并与更正</w:t>
            </w:r>
          </w:p>
        </w:tc>
        <w:tc>
          <w:tcPr>
            <w:tcW w:type="dxa" w:w="839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按事项、学年、批次、对象和发布主体查找关联；无匹配则新建。重复转发只补充来源，学院／班级附加要求按范围保留，正式更正更新相关事实；冲突进入核实流程。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抽取与个人判断</w:t>
            </w:r>
          </w:p>
        </w:tc>
        <w:tc>
          <w:tcPr>
            <w:tcW w:type="dxa" w:w="8390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资格、责任人、正式时限、材料、提交入口、地点、联系方式均附原文位置。区分“本人必办／本人可选／仅知悉／不适用／待核实”；他人审核日期是依赖，不变成本人的提交任务。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生成行动</w:t>
            </w:r>
          </w:p>
        </w:tc>
        <w:tc>
          <w:tcPr>
            <w:tcW w:type="dxa" w:w="8390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每件行动明确做什么、谁来做、何时、交给谁、所需材料、前置条件、完成凭证及可编辑范围。报名、签字、盖章、提交、复核分步；未知只阻断依赖它的步骤。必办可按本人设置纳入，可选先由本人决定。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事项卡可展开“判断理由—原文位置—原件”，支持纠错和补件。关键日期、适用对象、材料与提交方须与原文核对；日期不补造具体时分，无法辨认的内容进入待核实。与疑点无关的准备步骤可继续，避免因局部缺项停下全部任务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例如综合测评申请：学生提交、班级核查、学院审核分别建立责任与依赖；“公示后若干日”从实际公示时间计算。正式截止时间、学院提前收件时间与个人计划时间分别保存。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变更、取消与执行闭环</w:t>
      </w:r>
    </w:p>
    <w:p>
      <w:pPr>
        <w:pStyle w:val="15"/>
        <w:keepNext/>
        <w:spacing w:line="240" w:lineRule="auto" w:before="0" w:after="140"/>
        <w:ind w:left="0" w:right="0" w:firstLine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drawing>
          <wp:inline xmlns:a="http://schemas.openxmlformats.org/drawingml/2006/main" xmlns:pic="http://schemas.openxmlformats.org/drawingml/2006/picture">
            <wp:extent cx="5940000" cy="3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变更分权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3　个人决定、发布方更正和未证实消息进入不同路径。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4252"/>
        <w:gridCol w:w="4422"/>
      </w:tblGrid>
      <w:tr>
        <w:trPr>
          <w:tblHeader/>
          <w:cantSplit/>
        </w:trPr>
        <w:tc>
          <w:tcPr>
            <w:tcW w:type="dxa" w:w="1417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谁能决定</w:t>
            </w:r>
          </w:p>
        </w:tc>
        <w:tc>
          <w:tcPr>
            <w:tcW w:type="dxa" w:w="425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可变内容与处理</w:t>
            </w:r>
          </w:p>
        </w:tc>
        <w:tc>
          <w:tcPr>
            <w:tcW w:type="dxa" w:w="442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边界与兜底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用户自己</w:t>
            </w:r>
          </w:p>
        </w:tc>
        <w:tc>
          <w:tcPr>
            <w:tcW w:type="dxa" w:w="425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准备时段、提醒、个人目标、优先级、可选事项参加意愿；可编辑、暂停、恢复或撤销个人改动。</w:t>
            </w:r>
          </w:p>
        </w:tc>
        <w:tc>
          <w:tcPr>
            <w:tcW w:type="dxa" w:w="442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保留正式期限与要求；必办事项可标记无法办理并求助，不能改成已获豁免。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发布方／有权机构</w:t>
            </w:r>
          </w:p>
        </w:tc>
        <w:tc>
          <w:tcPr>
            <w:tcW w:type="dxa" w:w="425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提前、延期、待定、地点或材料变动、名额变化、局部／全部取消及恢复。核验发布身份、事项及适用范围。</w:t>
            </w:r>
          </w:p>
        </w:tc>
        <w:tc>
          <w:tcPr>
            <w:tcW w:type="dxa" w:w="442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已证实事实及时更新；个人排程仅按既有授权调整，否则给出差异预览。老师不在群可查原站或由负责人核实。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尚不能确定</w:t>
            </w:r>
          </w:p>
        </w:tc>
        <w:tc>
          <w:tcPr>
            <w:tcW w:type="dxa" w:w="425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转述、传言、来源冲突或仅消息被撤回。保留最后已证实事实并显著标疑。</w:t>
            </w:r>
          </w:p>
        </w:tc>
        <w:tc>
          <w:tcPr>
            <w:tcW w:type="dxa" w:w="442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继续可逆准备，暂停依赖疑点的外部操作；提醒核实及原期限风险，提供原安排与备选安排。撤回消息不等于取消活动。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更正沿“事实—行动—依赖—日历—提醒—材料”检查影响，保留已完成步骤、本人备注与锁定安排。提前须检查是否来得及；地点或方式变化重算通勤与材料；确定延期重排未完成步骤。多人或多端同时修改时核对最新状态，迟到的旧消息不得覆盖新安排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确认取消时停发相关提醒，已报名／支付者新增撤回、退费核查等善后事项。延期未定使旧时间失效，改设核实提醒；候补、名额不足或审核拒绝提供等待、替代或申诉路径，不能自定规则。恢复须复核资格、资源与过期材料；部分取消或调课只改相关步骤／场次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个人锁定不能维持已经失效的外部事实与提醒。完成记录保留，但更正使原成果不再适用时，相关步骤转待补正；变更预览同时列出新增、调整、失效和仍保留的内容。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办理状态随实际结果推进：待准备→办理中→已提交→待审核→办结；补件回到相关步骤。失败、逾期、放弃与外部取消分别记录。自报完成与正式回执分开；结果不明时先查询。已提交事项如需撤回，另走对应的正式流程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个性化服务与可行性判断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3458"/>
        <w:gridCol w:w="4819"/>
      </w:tblGrid>
      <w:tr>
        <w:trPr>
          <w:tblHeader/>
          <w:cantSplit/>
        </w:trPr>
        <w:tc>
          <w:tcPr>
            <w:tcW w:type="dxa" w:w="181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服务</w:t>
            </w:r>
          </w:p>
        </w:tc>
        <w:tc>
          <w:tcPr>
            <w:tcW w:type="dxa" w:w="345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必要输入</w:t>
            </w:r>
          </w:p>
        </w:tc>
        <w:tc>
          <w:tcPr>
            <w:tcW w:type="dxa" w:w="4819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输出与跟进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通知办理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通知原文、本人条件、办理意愿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个人事项、材料清单、责任与期限；跟进提交、补件、公示及结果。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短期计划与行程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课表、已占时段、地点、通勤、可用时间和偏好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日／周计划、出发与准备提醒、冲突取舍；临时没空只重排可移动部分。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考试与学习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本学期选课、考试安排、考核要求、复习进度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考试卡、复习分解、报名与材料检查；调考、补考、缓考按正式依据更新。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填报与申请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申请规则、表格、本人确认资料、附件规范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逐字段草稿及出处、缺件与格式检查；签字盖章单列，预览后由本人提交并留回执。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求职与实习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本人目标、简历、已验证岗位、投递和面试状态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岗位条件差距、准备计划、投递清单与面试安排；岗位关闭或面试改期触发替代建议。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活动与团队协作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参加条件、名额、本人选择、成员授权与分工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报名及现场任务、共同里程碑、责任交接；缺人、候补和取消分别处理。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升学与长期发展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目标、阶段、课程及能力记录、时间预算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目标拆到月／周行动；提供可行、需补条件或当前不可行的依据，不凭空给录取／录用概率。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生活事务</w:t>
            </w:r>
          </w:p>
        </w:tc>
        <w:tc>
          <w:tcPr>
            <w:tcW w:type="dxa" w:w="345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缴费、宿舍、取件、场馆等可靠通知及本人需求</w:t>
            </w:r>
          </w:p>
        </w:tc>
        <w:tc>
          <w:tcPr>
            <w:tcW w:type="dxa" w:w="4819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归集办理窗口与材料；只提供可核实的办理路径，支付、预约取消等保留本人控制。</w:t>
            </w:r>
          </w:p>
        </w:tc>
      </w:tr>
    </w:tbl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所有领域共用一张个人任务图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课程、考试、活动、求职与个人目标共用时间安排，可复用材料关联到同一份个人档案。各领域均明确所需信息、判断规则、办理步骤与结果记录。缺少课表或通勤信息时列出计划假设，补齐后重新检查冲突。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排程由约束计算，智能体解释与协商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正式期限、固定课程、前置依赖和本人锁定事项作为硬约束；偏好时段、休息、通勤、预计耗时与缓冲共同参与排程。耗时不确定时给出区间。若时间不足或依赖第三方审核，说明受阻条件，提出减量、替代、请假或申请延期等方案，由本人选择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同一目标遭遇变化时的帮助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例如面试与考试冲突：保留考试事实，提出申请改面试时间、减少非必要准备或改投其他岗位；用户确认前不向招聘方发消息。面试随后取消时，停用对应行程与提醒，保留已准备的简历，转为跟进原因或备选岗位；其他考试、课程和已完成步骤保持独立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提醒必须看得到状态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站内待办持续可见，QQ、微信订阅消息及其他提醒按本人授权启用；展示待发、发送成功、失败与本人确认状态。推送失败时保留站内提示，并提供日历或其他已启用渠道。支持静默时段、合并摘要及重要变更提醒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外部日历按事件标识同步新增、修改和取消，并显示同步结果。采用一次性日历文件导入时，后续变更提供改动清单，由本人确认更新。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智能体协作架构</w:t>
      </w:r>
    </w:p>
    <w:p>
      <w:pPr>
        <w:pStyle w:val="15"/>
        <w:keepNext/>
        <w:spacing w:line="240" w:lineRule="auto" w:before="0" w:after="140"/>
        <w:ind w:left="0" w:right="0" w:firstLine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drawing>
          <wp:inline xmlns:a="http://schemas.openxmlformats.org/drawingml/2006/main" xmlns:pic="http://schemas.openxmlformats.org/drawingml/2006/picture">
            <wp:extent cx="6192000" cy="412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智能体协作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4　同伴协作经总线；核验通过后方可执行，未通过回原任务补正。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8163"/>
      </w:tblGrid>
      <w:tr>
        <w:trPr>
          <w:tblHeader/>
          <w:cantSplit/>
        </w:trPr>
        <w:tc>
          <w:tcPr>
            <w:tcW w:type="dxa" w:w="192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角色</w:t>
            </w:r>
          </w:p>
        </w:tc>
        <w:tc>
          <w:tcPr>
            <w:tcW w:type="dxa" w:w="816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负责的产物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协调</w:t>
            </w:r>
          </w:p>
        </w:tc>
        <w:tc>
          <w:tcPr>
            <w:tcW w:type="dxa" w:w="816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拆任务、选择参与者、维护依赖、汇集冲突，只向用户提出必要的合并问题。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证据／适配</w:t>
            </w:r>
          </w:p>
        </w:tc>
        <w:tc>
          <w:tcPr>
            <w:tcW w:type="dxa" w:w="816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证据智能体整理原文和更正；适配智能体逐条件判断相关性与资格，各自输出依据与未知。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规划／学业</w:t>
            </w:r>
          </w:p>
        </w:tc>
        <w:tc>
          <w:tcPr>
            <w:tcW w:type="dxa" w:w="816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规划智能体生成行动图并调用约束求解；学业智能体处理课程、考试与复习要求。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申办／发展</w:t>
            </w:r>
          </w:p>
        </w:tc>
        <w:tc>
          <w:tcPr>
            <w:tcW w:type="dxa" w:w="816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申办智能体生成有出处的表单与材料草稿；发展智能体处理求职、升学、活动和阶段目标。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核验／跟进</w:t>
            </w:r>
          </w:p>
        </w:tc>
        <w:tc>
          <w:tcPr>
            <w:tcW w:type="dxa" w:w="816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核验智能体对照原件及规则检查，不以同伴结论充当证据；跟进智能体处理提醒、回执、补办和变化。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协调、通知分析、个人匹配、计划解释和复核等智能体角色统一由小米 mimo-v2.6-pro 驱动，通过不同任务提示及独立上下文组织澄清、约束协商与交接。消息关联具体任务、事实、权限、时限及结果；协调器限制往返次数和调用预算。语音能力按下表路由，不要求每次任务同时调用全部模型。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小米模型分工</w:t>
      </w:r>
    </w:p>
    <w:p>
      <w:pPr>
        <w:keepNext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全部 AI 能力统一由以下五个小米 MiMo 模型提供。文本与视觉场景共用主模型，语音场景分别选择对应模型；常规文字问答不额外调用语音模型。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891"/>
        <w:gridCol w:w="3628"/>
        <w:gridCol w:w="3572"/>
      </w:tblGrid>
      <w:tr>
        <w:trPr>
          <w:tblHeader/>
          <w:cantSplit/>
        </w:trPr>
        <w:tc>
          <w:tcPr>
            <w:tcW w:type="dxa" w:w="2891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模型</w:t>
            </w:r>
          </w:p>
        </w:tc>
        <w:tc>
          <w:tcPr>
            <w:tcW w:type="dxa" w:w="362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本项目职责</w:t>
            </w:r>
          </w:p>
        </w:tc>
        <w:tc>
          <w:tcPr>
            <w:tcW w:type="dxa" w:w="357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调用与核对要求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mimo-v2.6-pro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通知与附件理解、结构化提取、截图理解、问答、计划解释及智能体角色推理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统一文本与视觉主模型；事实和日期仍需原文校验。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mimo-v2.5-asr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口述问题、录音转文字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转写后先回填，由本人核对人名、数字与期限后发送。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mimo-v2.5-tts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默认通知、待办和回答播报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使用小米预置音色，按已核对文字合成。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mimo-v2.5-tts-voicedesign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按文字描述设计小信使音色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描述与播报正文分开传入，关闭正文自动润色。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mimo-v2.5-tts-voiceclone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本人或获授权声音的播报</w:t>
            </w:r>
          </w:p>
        </w:tc>
        <w:tc>
          <w:tcPr>
            <w:tcW w:type="dxa" w:w="357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提供参考录音并确认声音所有者授权；每次请求携带参考音频。</w:t>
            </w:r>
          </w:p>
        </w:tc>
      </w:tr>
    </w:tbl>
    <w:p>
      <w:pPr>
        <w:pStyle w:val="165"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图片识别保留人工核对；音频转写不当作身份认证或正式通知原件。声音复刻仅用于本人或已获授权的声音。语音合成不承担推送送达，个人日历与提醒渠道按原方案验证。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例如求职与考试安排冲突：发展智能体向学业智能体取得考试占用，适配智能体检查岗位资格；规划智能体汇合约束，申办智能体准备材料，核验智能体发现缺项后定向返工。通过后按用户授权执行，跟进智能体接续处理改期和回执。简单通知仅调用必要角色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共同任务进度由统一工作流保存，事实与个人决定分别维护。中断后从已保存步骤恢复；取消时同步停止相关分支。智能体提出建议，核验与权限网关控制执行；重复请求不产生重复外部操作，结果不明时先查询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记忆与上下文管理</w:t>
      </w:r>
    </w:p>
    <w:p>
      <w:pPr>
        <w:pStyle w:val="15"/>
        <w:keepNext/>
        <w:spacing w:line="240" w:lineRule="auto" w:before="0" w:after="140"/>
        <w:ind w:left="0" w:right="0" w:firstLine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</w: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drawing>
          <wp:inline xmlns:a="http://schemas.openxmlformats.org/drawingml/2006/main" xmlns:pic="http://schemas.openxmlformats.org/drawingml/2006/picture">
            <wp:extent cx="6120000" cy="4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记忆与上下文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15"/>
        <w:spacing w:line="240" w:lineRule="auto" w:before="0" w:after="140"/>
        <w:ind w:firstLine="0" w:left="0" w:right="0"/>
        <w:jc w:val="center"/>
      </w:pPr>
      <w:r>
        <w:rPr>
          <w:rFonts w:eastAsia="FZKai-Z03S" w:ascii="Times New Roman" w:hAnsi="Times New Roman" w:cs="Times New Roman"/>
          <w:b w:val="0"/>
          <w:i w:val="0"/>
          <w:color w:val="auto"/>
          <w:sz w:val="17"/>
        </w:rPr>
        <w:t>图 5　按任务读取最少必要信息；写回先核对、按归属保存。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8334"/>
      </w:tblGrid>
      <w:tr>
        <w:trPr>
          <w:tblHeader/>
          <w:cantSplit/>
        </w:trPr>
        <w:tc>
          <w:tcPr>
            <w:tcW w:type="dxa" w:w="1757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分区</w:t>
            </w:r>
          </w:p>
        </w:tc>
        <w:tc>
          <w:tcPr>
            <w:tcW w:type="dxa" w:w="8334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内容与生命周期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原文证据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通知、附件、字段出处、适用范围与更正关系；区分公开与受限资料。来源不可达时保留仍获授权的办理依据，撤权或删除按数据归属执行。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个人资料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本人确认的身份、选课、目标、偏好、材料授权；标记自报／已验证、生效与到期时间。跨学期或目标变化时复核。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任务状态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步骤、依赖、决定、锁定安排、工具执行记录、回执和恢复检查点；按任务隔离，结束后按保留策略归档或清理。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经验记录</w:t>
            </w:r>
          </w:p>
        </w:tc>
        <w:tc>
          <w:tcPr>
            <w:tcW w:type="dxa" w:w="8334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可复用的本人偏好和耗时区间须有来源；推断先作候选。群通知不能写成用户意愿，外部文本不能更改系统规则。</w:t>
            </w:r>
          </w:p>
        </w:tc>
      </w:tr>
    </w:tbl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每次任务只读取本人获授权、当前有效且与任务相关的信息，形成“目标＋本人决定＋约束＋相关原文＋未决问题＋允许操作”的上下文。短期讨论与长期资料分开，专业智能体仅获得履行职责所需内容。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长任务压缩重复讨论，保留原件位置、关键数字、否定条件及未决问题；必要时分段读取或拆分子任务。角色交接明确已完成内容、缺项与下一步；提交结果前复核最新通知和个人决定，防止沿用过时信息。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记忆写回先核对归属与来源：正式事实保留出处，长期偏好由本人确认，冲突内容等待核实。用户可查看、更正、撤权和删除个人资料；相关摘要、检索索引、缓存与进行中的任务同步处理，备份按约定周期清除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接口与数据需求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下表为拟对接需求与协作分工，具体范围按平台能力及授权确定。试点可先通过公开通知与人工导入运行完整流程，再逐步接入校内系统。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3628"/>
        <w:gridCol w:w="2551"/>
        <w:gridCol w:w="2438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对接对象</w:t>
            </w:r>
          </w:p>
        </w:tc>
        <w:tc>
          <w:tcPr>
            <w:tcW w:type="dxa" w:w="362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所需能力与数据</w:t>
            </w:r>
          </w:p>
        </w:tc>
        <w:tc>
          <w:tcPr>
            <w:tcW w:type="dxa" w:w="2551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协调方</w:t>
            </w:r>
          </w:p>
        </w:tc>
        <w:tc>
          <w:tcPr>
            <w:tcW w:type="dxa" w:w="2438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无接口时的路径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官网通知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通知列表、正文、附件、发布主体与时间、更新／撤回标记；保留稳定来源标识。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学校／学院网站管理方提供接口或公开栏目访问方式。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获准公开栏目读取；负责人供稿或学生上传。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公众号文章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获授权账号的文章、附件或原文链接、发布与更正信息。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公众号运营方授权或供稿，项目方接入。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单篇文章提交；关联官网同源稿。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QQ 群消息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获准范围内的消息事件、群与发送者标识、附件及可用的提醒反馈。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项目方申请机器人能力，试点群配合接入及授权告知。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定向投稿或工作台上传。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微信小程序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用户登录、选择图片／聊天文件、上传、订阅消息及投递状态。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项目方配置小程序，学生按需授权。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手机网页上传、站内待办与其他已启用提醒。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课程与考试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本人课程、教学班、学期、上课与考试时间地点及变更；以只读为主。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教务或教学平台管理方，教师协助对接。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导入本人课表、考试通知，补充确认。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统一身份认证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稳定用户标识、所属院系／年级及获准核验的身份属性。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校内认证服务管理方，教师协助对接。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独立产品账号；本人填写资料并标记验证状态。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报名／填报系统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按业务开放表单字段、材料规范、提交状态及回执；写入操作须单独授权。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业务主管单位与系统管理方；项目方适配。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生成材料草稿，由本人打开原系统办理并补充回执。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日历与提醒</w:t>
            </w:r>
          </w:p>
        </w:tc>
        <w:tc>
          <w:tcPr>
            <w:tcW w:type="dxa" w:w="362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本人授权的事件新增、修改、取消及同步结果；消息模板与送达反馈。</w:t>
            </w:r>
          </w:p>
        </w:tc>
        <w:tc>
          <w:tcPr>
            <w:tcW w:type="dxa" w:w="2551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项目方对接服务，学生选择启用。</w:t>
            </w:r>
          </w:p>
        </w:tc>
        <w:tc>
          <w:tcPr>
            <w:tcW w:type="dxa" w:w="2438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内置日历、站内提醒；导出日历文件并提示后续变更。</w:t>
            </w:r>
          </w:p>
        </w:tc>
      </w:tr>
    </w:tbl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项目团队配置的技术服务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PDF、Word、表格等可提取文字由本地解析组件读取，截图由 mimo-v2.6-pro 理解；全部语义分析、结构化抽取及智能体推理由同一小米主模型承担。语音输入使用 mimo-v2.5-asr，普通播报、音色设计和声音复刻分别使用对应 MiMo TTS 模型。检索、规则、权限、日期及排程约束仍由确定性程序处理；私有文件、数据库、队列与推送渠道沿用原架构，统一记录调用结果和费用。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数据关联与更新要求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来源保留主体、权限及同步状态；原件关联具体事项、学期、批次和更正记录；个人行动关联本人条件、正式时限、计划时间、材料与回执。更正信息应尽量包含所指事项、生效时间、影响范围及核实联系人，便于自动更新受影响环节。</w:t>
      </w:r>
    </w:p>
    <w:p>
      <w:pPr>
        <w:pStyle w:val="3"/>
        <w:keepNext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实施安排与协作支持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按完整办理流程推进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4535"/>
        <w:gridCol w:w="4082"/>
      </w:tblGrid>
      <w:tr>
        <w:trPr>
          <w:tblHeader/>
          <w:cantSplit/>
        </w:trPr>
        <w:tc>
          <w:tcPr>
            <w:tcW w:type="dxa" w:w="1474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阶段</w:t>
            </w:r>
          </w:p>
        </w:tc>
        <w:tc>
          <w:tcPr>
            <w:tcW w:type="dxa" w:w="4535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重点工作</w:t>
            </w:r>
          </w:p>
        </w:tc>
        <w:tc>
          <w:tcPr>
            <w:tcW w:type="dxa" w:w="4082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阶段产出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基础试点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选定通知来源与学生样本，跑通手动多材料导入、通知判断、行动拆解、提醒及结果记录。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个人工作台、来源管理、可追溯事项卡与办理闭环。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接入扩展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对接可获授权的官网、公众号及 QQ 来源，完善身份关联、课程学期、去重与更正。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多来源同步、覆盖状态看板、变更传播及人工兜底。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个性化协作</w:t>
            </w:r>
          </w:p>
        </w:tc>
        <w:tc>
          <w:tcPr>
            <w:tcW w:type="dxa" w:w="4535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加入课程、目标和材料管理，联动考试、求职、填报等任务；检验中断恢复与临时调整。</w:t>
            </w:r>
          </w:p>
        </w:tc>
        <w:tc>
          <w:tcPr>
            <w:tcW w:type="dxa" w:w="4082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协作智能体、个人计划、材料工作区与服务质量看板。</w:t>
            </w:r>
          </w:p>
        </w:tc>
      </w:tr>
    </w:tbl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贯穿实施的数据与操作边界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群信息采集、成员共享与个人材料分别授权；私密资料按用户及来源隔离，老师侧仅查看获授权的事项与必要统计。附件隔离解析，存储与传输加密，日志脱敏，用户可撤回授权并清理个人数据。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原文、附件和智能体消息不能自行扩大系统权限。外部提交、撤回及其他重要操作须展示对象、材料与影响，由本人确认；执行失败或结果不明时保留记录并查询，避免重复办理。来源或模型中断时，已存待办、提醒和人工导入继续可用。</w:t>
      </w:r>
    </w:p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需要协助提供的资源</w:t>
      </w:r>
    </w:p>
    <w:tbl>
      <w:tblPr>
        <w:tblW w:type="dxa" w:w="100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823"/>
      </w:tblGrid>
      <w:tr>
        <w:trPr>
          <w:tblHeader/>
          <w:cantSplit/>
        </w:trPr>
        <w:tc>
          <w:tcPr>
            <w:tcW w:type="dxa" w:w="2268"/>
            <w:vAlign w:val="center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支持事项</w:t>
            </w:r>
          </w:p>
        </w:tc>
        <w:tc>
          <w:tcPr>
            <w:tcW w:type="dxa" w:w="7823"/>
            <w:vAlign w:val="center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/>
              <w:spacing w:line="240" w:lineRule="auto" w:before="0" w:after="0"/>
              <w:ind w:firstLine="0" w:left="0" w:right="0"/>
              <w:jc w:val="center"/>
            </w:pPr>
            <w:r>
              <w:rPr>
                <w:rFonts w:eastAsia="FZKai-Z03S" w:ascii="Times New Roman" w:hAnsi="Times New Roman" w:cs="Times New Roman"/>
                <w:b/>
                <w:i w:val="0"/>
                <w:color w:val="auto"/>
                <w:sz w:val="20"/>
              </w:rPr>
              <w:t>所需内容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试点范围与通知样本</w:t>
            </w:r>
          </w:p>
        </w:tc>
        <w:tc>
          <w:tcPr>
            <w:tcW w:type="dxa" w:w="782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试点学院／班级／课程或组织；真实通知及附件，覆盖正常办理、重复转发、补充要求、取消延期等情形。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业务规则与核实联系人</w:t>
            </w:r>
          </w:p>
        </w:tc>
        <w:tc>
          <w:tcPr>
            <w:tcW w:type="dxa" w:w="782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适用人群、学生及老师责任、材料清单、各级收件要求、完成标准；指定更正与疑问的核实联系人。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接口与授权协调</w:t>
            </w:r>
          </w:p>
        </w:tc>
        <w:tc>
          <w:tcPr>
            <w:tcW w:type="dxa" w:w="7823"/>
            <w:vAlign w:val="center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通知发布平台、教务与认证等系统的对接联系人；确认可开放的数据、授权范围与接入方式。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试用与效果评价</w:t>
            </w:r>
          </w:p>
        </w:tc>
        <w:tc>
          <w:tcPr>
            <w:tcW w:type="dxa" w:w="7823"/>
            <w:vAlign w:val="center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tcMar>
              <w:top w:w="65" w:type="dxa"/>
              <w:bottom w:w="65" w:type="dxa"/>
              <w:left w:w="90" w:type="dxa"/>
              <w:right w:w="90" w:type="dxa"/>
            </w:tcMar>
            <w:shd w:val="clear" w:fill="auto"/>
          </w:tcPr>
          <w:p>
            <w:pPr>
              <w:pStyle w:val="164"/>
              <w:keepNext w:val="0"/>
              <w:spacing w:line="240" w:lineRule="auto" w:before="0" w:after="0"/>
              <w:ind w:firstLine="0" w:left="0" w:right="0"/>
              <w:jc w:val="left"/>
            </w:pPr>
            <w:r>
              <w:rPr>
                <w:rFonts w:eastAsia="FZKai-Z03S" w:ascii="Times New Roman" w:hAnsi="Times New Roman" w:cs="Times New Roman"/>
                <w:b w:val="0"/>
                <w:i w:val="0"/>
                <w:color w:val="auto"/>
                <w:sz w:val="20"/>
              </w:rPr>
              <w:t>招募自愿试用者，提供脱敏样本与业务判断反馈，比较整理时间、漏办误办、变更处理及用户操作负担。</w:t>
            </w:r>
          </w:p>
        </w:tc>
      </w:tr>
    </w:tbl>
    <w:p>
      <w:pPr>
        <w:pStyle w:val="4"/>
        <w:keepNext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交付与评价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交付智能体服务、学生个人工作台及来源与办理看板。重点验证：关键字段与个人匹配准确性、重复事项合并、取消延期传播、复杂计划可行性、办理用时及单事项成本。对照人工整理和单智能体方案，保留有实际收益的协作环节。</w:t>
      </w:r>
    </w:p>
    <w:p>
      <w:pPr>
        <w:pStyle w:val="3"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44"/>
        </w:rPr>
        <w:t>小米 AI 对接与验证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配置与接口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配置文件位于“系统_开发/.env”。填写 MIMO_API_KEY 后重启，MIMO_BASE_URL 已设为 https://api.xiaomimimo.com/v1。主模型、ASR、普通 TTS、音色设计和声音复刻分别通过 MIMO_TEXT_MODEL、MIMO_ASR_MODEL、MIMO_TTS_MODEL、MIMO_VOICE_DESIGN_MODEL、MIMO_VOICE_CLONE_MODEL 预置为本方案列出的模型。旧供应商配置不再读取。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五个模型统一调用 /chat/completions。主模型沿用 JSON 输出与图片输入，思考开关使用 thinking.type=disabled。ASR 使用 input_audio；TTS 将播报正文置于 assistant 消息，音色描述置于 user 消息，并从返回的 audio.data 读取音频。音色设计不传预置 voice，关闭 optimize_text_preview；声音复刻在 audio.voice 中传入参考录音。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本版本使用小米按量 API。Token Plan 的专用密钥、端点和用途条件需要另行核对，不能直接混用。一个密钥能否调用全部模型，以账号实际权限和额度为准；不把限时优惠或模型配置写成永久免费、已经开通或已经验收。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语音入口与应用上限</w:t>
      </w:r>
    </w:p>
    <w:p>
      <w:pPr>
        <w:spacing w:line="240" w:lineRule="auto" w:before="0" w:after="140"/>
        <w:ind w:left="0" w:right="0" w:firstLine="72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聊天及通知输入框的麦克风调用 ASR。浏览器本地将录音转换为 16 位、16 kHz、单声道 WAV 后发送；录音最长 60 秒。个人设置中的“语音播报”可选择三种 TTS 模式，播报正文最多 2,000 字，音色描述最多 500 字，复刻参考 WAV 最长 30 秒，音频输入不超过 5 MB。以上为本应用限制。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官方语音输入支持 MP3 与 WAV；当前应用先实现 PCM WAV。三种 TTS 首轮统一使用非流式 WAV 输出，生成后由用户点击播放；不把设计、复刻的兼容流式接口当作已经验证的低延迟实时播放。语音数据在应用内存中处理，不保存到通知库；外发前确认本次处理许可。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验收与后续对接</w:t>
      </w:r>
    </w:p>
    <w:p>
      <w:pPr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2"/>
        </w:rPr>
        <w:t>本轮完成模型配置及请求适配，不代表真实 API 已连通。获得密钥后逐一验证：文字通知提取与引用、截图理解、流式回答、ASR 日期和人名转写、普通播报、音色设计、已授权声音复刻；并核对实际权限、费用、延迟及目标设备录音播放兼容性。声音模型按需要单独验收，不增加日常文本任务的无关调用。</w:t>
      </w:r>
    </w:p>
    <w:p>
      <w:pPr>
        <w:pStyle w:val="165"/>
        <w:spacing w:line="240" w:lineRule="auto" w:before="0" w:after="140"/>
        <w:ind w:firstLine="72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工程接入字段、路由、限制和核验清单详见“系统_开发/MIMO_INTEGRATION.md”。原有本地解析、数据库检索、日期校验、权限、个人确认及日历导出继续由确定性程序处理。全部原件保留，本文件作为小米模型版使用。</w:t>
      </w:r>
    </w:p>
    <w:p>
      <w:pPr>
        <w:pStyle w:val="4"/>
        <w:spacing w:line="240" w:lineRule="auto" w:before="10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/>
          <w:i w:val="0"/>
          <w:color w:val="auto"/>
          <w:sz w:val="24"/>
        </w:rPr>
        <w:t>小米官方接口依据（2026年10月14日核对）</w:t>
      </w:r>
    </w:p>
    <w:p>
      <w:pPr>
        <w:pStyle w:val="166"/>
        <w:spacing w:line="240" w:lineRule="auto" w:before="0" w:after="140"/>
        <w:ind w:firstLine="0" w:left="0" w:right="0"/>
        <w:jc w:val="left"/>
      </w:pPr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</w:r>
      <w:hyperlink r:id="rId16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聊天接口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17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结构化输出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18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图片理解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19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ASR 接口</w:t>
        </w:r>
      </w:hyperlink>
      <w:r>
        <w:rPr>
          <w:rFonts w:eastAsia="FZKai-Z03S" w:ascii="Times New Roman" w:hAnsi="Times New Roman" w:cs="Times New Roman"/>
          <w:b w:val="0"/>
          <w:i w:val="0"/>
          <w:color w:val="auto"/>
          <w:sz w:val="20"/>
        </w:rPr>
        <w:t>；</w:t>
      </w:r>
      <w:hyperlink r:id="rId20">
        <w:r>
          <w:rPr>
            <w:rFonts w:eastAsia="FZKai-Z03S" w:ascii="Times New Roman" w:hAnsi="Times New Roman" w:cs="Times New Roman"/>
            <w:b/>
            <w:i w:val="0"/>
            <w:color w:val="auto"/>
            <w:sz w:val="18"/>
          </w:rPr>
          <w:t>TTS 接口</w:t>
        </w:r>
      </w:hyperlink>
    </w:p>
    <w:sectPr>
      <w:footerReference r:id="rId5" w:type="default"/>
      <w:pgSz w:w="11906" w:h="16838"/>
      <w:pgMar w:top="918" w:right="901" w:bottom="924" w:left="901" w:header="369" w:footer="386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FZKai-Z03S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5C72B5DF-21EC-4FEC-9EAE-07279E9E8CD1}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4F00FC">
    <w:pPr>
      <w:pStyle w:val="24"/>
      <w:jc w:val="right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8979AC">
                          <w:pPr>
                            <w:pStyle w:val="24"/>
                            <w:rPr>
                              <w:color w:val="auto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  <w:color w:val="auto"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8979AC">
                    <w:pPr>
                      <w:pStyle w:val="24"/>
                      <w:rPr>
                        <w:color w:val="auto"/>
                        <w:sz w:val="21"/>
                        <w:szCs w:val="21"/>
                      </w:rPr>
                    </w:pP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  <w:color w:val="auto"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3261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eastAsia="FZKai-Z03S" w:ascii="Times New Roman" w:hAnsi="Times New Roman" w:cs="Times New Roman"/>
        <w:b w:val="0"/>
        <w:i w:val="0"/>
        <w:color w:val="auto"/>
        <w:sz w:val="22"/>
        <w:iCs w:val="0"/>
        <w:bCs w:val="0"/>
        <w:szCs w:val="22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2"/>
      <w:lang w:val="en-US" w:eastAsia="en-US" w:bidi="ar-SA"/>
      <w:iCs w:val="0"/>
      <w:bCs w:val="0"/>
      <w:szCs w:val="22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40" w:line="240" w:lineRule="auto"/>
      <w:ind w:firstLine="0" w:left="0" w:right="0"/>
      <w:jc w:val="left"/>
      <w:outlineLvl w:val="0"/>
    </w:pPr>
    <w:rPr>
      <w:rFonts w:eastAsia="FZKai-Z03S" w:ascii="Times New Roman" w:hAnsi="Times New Roman" w:cs="Times New Roman"/>
      <w:b w:val="1"/>
      <w:i w:val="0"/>
      <w:color w:val="auto"/>
      <w:sz w:val="44"/>
      <w:iCs w:val="0"/>
      <w:bCs w:val="1"/>
      <w:szCs w:val="44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100" w:after="140" w:line="240" w:lineRule="auto"/>
      <w:ind w:firstLine="0" w:left="0" w:right="0"/>
      <w:jc w:val="left"/>
      <w:outlineLvl w:val="1"/>
    </w:pPr>
    <w:rPr>
      <w:rFonts w:eastAsia="FZKai-Z03S" w:ascii="Times New Roman" w:hAnsi="Times New Roman" w:cs="Times New Roman"/>
      <w:b w:val="1"/>
      <w:i w:val="0"/>
      <w:color w:val="auto"/>
      <w:sz w:val="24"/>
      <w:iCs w:val="0"/>
      <w:bCs w:val="1"/>
      <w:szCs w:val="24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before="0" w:after="140" w:line="240" w:lineRule="auto"/>
      <w:ind w:firstLine="0" w:left="0" w:right="0"/>
      <w:jc w:val="center"/>
    </w:pPr>
    <w:rPr>
      <w:rFonts w:eastAsia="FZKai-Z03S" w:ascii="Times New Roman" w:hAnsi="Times New Roman" w:cs="Times New Roman"/>
      <w:b w:val="0"/>
      <w:i w:val="0"/>
      <w:color w:val="auto"/>
      <w:sz w:val="17"/>
      <w:iCs w:val="0"/>
      <w:bCs w:val="0"/>
      <w:szCs w:val="17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 w:before="0"/>
      <w:ind w:firstLine="0" w:left="0" w:right="0"/>
    </w:pPr>
    <w:rPr>
      <w:rFonts w:ascii="Microsoft YaHei" w:hAnsi="Microsoft YaHei" w:eastAsia="Microsoft YaHei"/>
      <w:color w:val="526970"/>
      <w:sz w:val="16"/>
    </w:r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526970"/>
      <w:sz w:val="16"/>
    </w:rPr>
  </w:style>
  <w:style w:type="paragraph" w:styleId="26">
    <w:name w:val="Subtitle"/>
    <w:basedOn w:val="1"/>
    <w:next w:val="1"/>
    <w:link w:val="142"/>
    <w:qFormat/>
    <w:uiPriority w:val="11"/>
    <w:pPr>
      <w:spacing w:before="0" w:after="140" w:line="240" w:lineRule="auto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pacing w:val="15"/>
      <w:sz w:val="22"/>
      <w:iCs w:val="0"/>
      <w:bCs w:val="0"/>
      <w:szCs w:val="22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before="0" w:after="140" w:line="240" w:lineRule="auto"/>
      <w:ind w:firstLine="0" w:left="0" w:right="0"/>
      <w:contextualSpacing/>
      <w:jc w:val="center"/>
    </w:pPr>
    <w:rPr>
      <w:rFonts w:eastAsia="FZKai-Z03S" w:ascii="Times New Roman" w:hAnsi="Times New Roman" w:cs="Times New Roman"/>
      <w:b w:val="1"/>
      <w:i w:val="0"/>
      <w:color w:val="auto"/>
      <w:spacing w:val="5"/>
      <w:kern w:val="28"/>
      <w:sz w:val="49"/>
      <w:iCs w:val="0"/>
      <w:bCs w:val="1"/>
      <w:szCs w:val="49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Table Body"/>
    <w:uiPriority w:val="0"/>
    <w:pPr>
      <w:spacing w:after="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5">
    <w:name w:val="Note"/>
    <w:uiPriority w:val="0"/>
    <w:pPr>
      <w:spacing w:after="140" w:line="240" w:lineRule="auto" w:before="0"/>
      <w:ind w:firstLine="72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  <w:style w:type="paragraph" w:customStyle="1" w:styleId="166">
    <w:name w:val="Reference"/>
    <w:uiPriority w:val="0"/>
    <w:pPr>
      <w:spacing w:after="140" w:line="240" w:lineRule="auto" w:before="0"/>
      <w:ind w:firstLine="0" w:left="0" w:right="0"/>
      <w:jc w:val="left"/>
    </w:pPr>
    <w:rPr>
      <w:rFonts w:eastAsia="FZKai-Z03S" w:ascii="Times New Roman" w:hAnsi="Times New Roman" w:cs="Times New Roman"/>
      <w:b w:val="0"/>
      <w:i w:val="0"/>
      <w:color w:val="auto"/>
      <w:sz w:val="20"/>
      <w:lang w:val="en-US" w:eastAsia="en-US" w:bidi="ar-SA"/>
      <w:iCs w:val="0"/>
      <w:bCs w:val="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hyperlink" Target="https://mimo.mi.com/docs/en-US/api/chat" TargetMode="External"/><Relationship Id="rId17" Type="http://schemas.openxmlformats.org/officeDocument/2006/relationships/hyperlink" Target="https://mimo.mi.com/docs/en-US/quick-start/usage-guide/text-generation/structured-output" TargetMode="External"/><Relationship Id="rId18" Type="http://schemas.openxmlformats.org/officeDocument/2006/relationships/hyperlink" Target="https://mimo.mi.com/docs/en-US/quick-start/usage-guide/multimodal-understanding/image-understanding" TargetMode="External"/><Relationship Id="rId19" Type="http://schemas.openxmlformats.org/officeDocument/2006/relationships/hyperlink" Target="https://mimo.mi.com/docs/en-US/api/audio/Speech-Recognition" TargetMode="External"/><Relationship Id="rId20" Type="http://schemas.openxmlformats.org/officeDocument/2006/relationships/hyperlink" Target="https://mimo.mi.com/docs/en-US/api/audio/tts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506</Words>
  <Characters>509</Characters>
  <Lines>0</Lines>
  <Paragraphs>0</Paragraphs>
  <TotalTime>13</TotalTime>
  <ScaleCrop>false</ScaleCrop>
  <LinksUpToDate>false</LinksUpToDate>
  <CharactersWithSpaces>524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lastModifiedBy>黄兴键</cp:lastModifiedBy>
  <dcterms:modified xsi:type="dcterms:W3CDTF">2026-10-08T01:52:37Z</dcterms:modified>
  <dc:subject>跨任务通用版式；以用户 2026-10-08 修改版本为准</dc:subject>
  <dc:title>用户统一文档格式模板</dc:title>
  <cp:revision>1</cp:revision>
  <cp:keywords>用户文档格式,方正楷体,Times New Roman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eyJoZGlkIjoiNGQzNGJjOTdkYTI3YTEzMGQ4YjNmZWM2Nzk5MDc1YjciLCJ1c2VySWQiOiIxNjYxNDMyNjA2In0=</vt:lpwstr>
  </property>
  <property fmtid="{D5CDD505-2E9C-101B-9397-08002B2CF9AE}" pid="3" name="KSOProductBuildVer">
    <vt:lpwstr>2052-12.1.0.23542</vt:lpwstr>
  </property>
  <property fmtid="{D5CDD505-2E9C-101B-9397-08002B2CF9AE}" pid="4" name="ICV">
    <vt:lpwstr>824C5349E9B54045AF30E83F2AC7BB79_12</vt:lpwstr>
  </property>
</Properties>
</file>