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718"/>
        <w:gridCol w:w="1595"/>
        <w:gridCol w:w="5327"/>
      </w:tblGrid>
      <w:tr w:rsidR="000638A1" w:rsidTr="00EB399C">
        <w:tc>
          <w:tcPr>
            <w:tcW w:w="1728" w:type="dxa"/>
            <w:vMerge w:val="restart"/>
            <w:vAlign w:val="center"/>
          </w:tcPr>
          <w:p w:rsidR="000638A1" w:rsidRDefault="00B22F09" w:rsidP="00EB399C">
            <w:pPr>
              <w:jc w:val="center"/>
            </w:pPr>
            <w:r>
              <w:rPr>
                <w:noProof/>
              </w:rPr>
              <w:drawing>
                <wp:inline distT="0" distB="0" distL="0" distR="0">
                  <wp:extent cx="790575" cy="333375"/>
                  <wp:effectExtent l="19050" t="0" r="9525" b="0"/>
                  <wp:docPr id="1" name="Picture 1" descr="utdbw83x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dbw83x35"/>
                          <pic:cNvPicPr>
                            <a:picLocks noChangeAspect="1" noChangeArrowheads="1"/>
                          </pic:cNvPicPr>
                        </pic:nvPicPr>
                        <pic:blipFill>
                          <a:blip r:embed="rId6" cstate="print"/>
                          <a:srcRect/>
                          <a:stretch>
                            <a:fillRect/>
                          </a:stretch>
                        </pic:blipFill>
                        <pic:spPr bwMode="auto">
                          <a:xfrm>
                            <a:off x="0" y="0"/>
                            <a:ext cx="790575" cy="333375"/>
                          </a:xfrm>
                          <a:prstGeom prst="rect">
                            <a:avLst/>
                          </a:prstGeom>
                          <a:noFill/>
                          <a:ln w="9525">
                            <a:noFill/>
                            <a:miter lim="800000"/>
                            <a:headEnd/>
                            <a:tailEnd/>
                          </a:ln>
                        </pic:spPr>
                      </pic:pic>
                    </a:graphicData>
                  </a:graphic>
                </wp:inline>
              </w:drawing>
            </w:r>
          </w:p>
        </w:tc>
        <w:tc>
          <w:tcPr>
            <w:tcW w:w="1620" w:type="dxa"/>
            <w:vAlign w:val="center"/>
          </w:tcPr>
          <w:p w:rsidR="000638A1" w:rsidRPr="00EB399C" w:rsidRDefault="000638A1" w:rsidP="00EB399C">
            <w:pPr>
              <w:jc w:val="right"/>
              <w:rPr>
                <w:b/>
                <w:sz w:val="20"/>
                <w:szCs w:val="20"/>
              </w:rPr>
            </w:pPr>
            <w:r w:rsidRPr="00EB399C">
              <w:rPr>
                <w:b/>
                <w:sz w:val="20"/>
                <w:szCs w:val="20"/>
              </w:rPr>
              <w:t>Course</w:t>
            </w:r>
          </w:p>
        </w:tc>
        <w:tc>
          <w:tcPr>
            <w:tcW w:w="5508" w:type="dxa"/>
            <w:vAlign w:val="center"/>
          </w:tcPr>
          <w:p w:rsidR="000638A1" w:rsidRPr="00EB399C" w:rsidRDefault="009F6EE3" w:rsidP="00731EC9">
            <w:pPr>
              <w:rPr>
                <w:b/>
              </w:rPr>
            </w:pPr>
            <w:r w:rsidRPr="00EB399C">
              <w:rPr>
                <w:b/>
              </w:rPr>
              <w:t>CS/</w:t>
            </w:r>
            <w:r w:rsidR="006E66A2" w:rsidRPr="00EB399C">
              <w:rPr>
                <w:b/>
              </w:rPr>
              <w:t>CE</w:t>
            </w:r>
            <w:r w:rsidR="00475BE1" w:rsidRPr="00EB399C">
              <w:rPr>
                <w:b/>
              </w:rPr>
              <w:t xml:space="preserve"> </w:t>
            </w:r>
            <w:r w:rsidR="007C322E" w:rsidRPr="00EB399C">
              <w:rPr>
                <w:b/>
              </w:rPr>
              <w:t>6392</w:t>
            </w:r>
            <w:r w:rsidR="008D2F5D">
              <w:rPr>
                <w:b/>
              </w:rPr>
              <w:t>.001</w:t>
            </w:r>
            <w:r w:rsidR="00D02120" w:rsidRPr="00EB399C">
              <w:rPr>
                <w:b/>
              </w:rPr>
              <w:t xml:space="preserve">, </w:t>
            </w:r>
            <w:r w:rsidR="007C322E" w:rsidRPr="00EB399C">
              <w:rPr>
                <w:b/>
              </w:rPr>
              <w:t xml:space="preserve"> </w:t>
            </w:r>
            <w:r w:rsidR="006E66A2" w:rsidRPr="00EB399C">
              <w:rPr>
                <w:b/>
              </w:rPr>
              <w:t>Mobile Computing Systems</w:t>
            </w:r>
          </w:p>
        </w:tc>
      </w:tr>
      <w:tr w:rsidR="000638A1" w:rsidTr="00EB399C">
        <w:tc>
          <w:tcPr>
            <w:tcW w:w="1728" w:type="dxa"/>
            <w:vMerge/>
          </w:tcPr>
          <w:p w:rsidR="000638A1" w:rsidRDefault="000638A1"/>
        </w:tc>
        <w:tc>
          <w:tcPr>
            <w:tcW w:w="1620" w:type="dxa"/>
            <w:vAlign w:val="center"/>
          </w:tcPr>
          <w:p w:rsidR="000638A1" w:rsidRPr="00EB399C" w:rsidRDefault="000638A1" w:rsidP="00EB399C">
            <w:pPr>
              <w:jc w:val="right"/>
              <w:rPr>
                <w:b/>
                <w:sz w:val="20"/>
                <w:szCs w:val="20"/>
              </w:rPr>
            </w:pPr>
            <w:r w:rsidRPr="00EB399C">
              <w:rPr>
                <w:b/>
                <w:sz w:val="20"/>
                <w:szCs w:val="20"/>
              </w:rPr>
              <w:t>Professor</w:t>
            </w:r>
          </w:p>
        </w:tc>
        <w:tc>
          <w:tcPr>
            <w:tcW w:w="5508" w:type="dxa"/>
            <w:vAlign w:val="center"/>
          </w:tcPr>
          <w:p w:rsidR="000638A1" w:rsidRDefault="00561B24" w:rsidP="00731EC9">
            <w:smartTag w:uri="urn:schemas-microsoft-com:office:smarttags" w:element="place">
              <w:r>
                <w:t>Ravi</w:t>
              </w:r>
            </w:smartTag>
            <w:r>
              <w:t xml:space="preserve"> Prakash</w:t>
            </w:r>
          </w:p>
        </w:tc>
      </w:tr>
      <w:tr w:rsidR="000638A1" w:rsidTr="00EB399C">
        <w:tc>
          <w:tcPr>
            <w:tcW w:w="1728" w:type="dxa"/>
            <w:vMerge/>
          </w:tcPr>
          <w:p w:rsidR="000638A1" w:rsidRDefault="000638A1"/>
        </w:tc>
        <w:tc>
          <w:tcPr>
            <w:tcW w:w="1620" w:type="dxa"/>
            <w:vAlign w:val="center"/>
          </w:tcPr>
          <w:p w:rsidR="000638A1" w:rsidRPr="00EB399C" w:rsidRDefault="000638A1" w:rsidP="00EB399C">
            <w:pPr>
              <w:jc w:val="right"/>
              <w:rPr>
                <w:b/>
                <w:sz w:val="20"/>
                <w:szCs w:val="20"/>
              </w:rPr>
            </w:pPr>
            <w:r w:rsidRPr="00EB399C">
              <w:rPr>
                <w:b/>
                <w:sz w:val="20"/>
                <w:szCs w:val="20"/>
              </w:rPr>
              <w:t>Term</w:t>
            </w:r>
          </w:p>
        </w:tc>
        <w:tc>
          <w:tcPr>
            <w:tcW w:w="5508" w:type="dxa"/>
            <w:vAlign w:val="center"/>
          </w:tcPr>
          <w:p w:rsidR="000638A1" w:rsidRDefault="003A4F50" w:rsidP="00731EC9">
            <w:r>
              <w:t>Spring 2017</w:t>
            </w:r>
          </w:p>
        </w:tc>
      </w:tr>
      <w:tr w:rsidR="000638A1" w:rsidTr="00EB399C">
        <w:tc>
          <w:tcPr>
            <w:tcW w:w="1728" w:type="dxa"/>
            <w:vMerge/>
          </w:tcPr>
          <w:p w:rsidR="000638A1" w:rsidRDefault="000638A1"/>
        </w:tc>
        <w:tc>
          <w:tcPr>
            <w:tcW w:w="1620" w:type="dxa"/>
            <w:vAlign w:val="center"/>
          </w:tcPr>
          <w:p w:rsidR="000638A1" w:rsidRPr="00EB399C" w:rsidRDefault="000638A1" w:rsidP="00EB399C">
            <w:pPr>
              <w:jc w:val="right"/>
              <w:rPr>
                <w:b/>
                <w:sz w:val="20"/>
                <w:szCs w:val="20"/>
              </w:rPr>
            </w:pPr>
            <w:r w:rsidRPr="00EB399C">
              <w:rPr>
                <w:b/>
                <w:sz w:val="20"/>
                <w:szCs w:val="20"/>
              </w:rPr>
              <w:t>Meetings</w:t>
            </w:r>
          </w:p>
        </w:tc>
        <w:tc>
          <w:tcPr>
            <w:tcW w:w="5508" w:type="dxa"/>
            <w:vAlign w:val="center"/>
          </w:tcPr>
          <w:p w:rsidR="000638A1" w:rsidRDefault="003A4F50" w:rsidP="003A4F50">
            <w:r>
              <w:t>TR 2:3</w:t>
            </w:r>
            <w:r w:rsidR="008D2F5D">
              <w:t>0 p</w:t>
            </w:r>
            <w:r w:rsidR="00086CE2">
              <w:t xml:space="preserve">m – </w:t>
            </w:r>
            <w:r>
              <w:t>3</w:t>
            </w:r>
            <w:r w:rsidR="00475BE1">
              <w:t>:</w:t>
            </w:r>
            <w:r>
              <w:t>4</w:t>
            </w:r>
            <w:r w:rsidR="008D2F5D">
              <w:t>5 p</w:t>
            </w:r>
            <w:r w:rsidR="00561B24">
              <w:t xml:space="preserve">m, </w:t>
            </w:r>
            <w:r>
              <w:t>CB 1.223</w:t>
            </w:r>
          </w:p>
        </w:tc>
      </w:tr>
    </w:tbl>
    <w:p w:rsidR="00D543E5" w:rsidRDefault="00D543E5" w:rsidP="00731EC9">
      <w:pPr>
        <w:pBdr>
          <w:bottom w:val="single" w:sz="12" w:space="1" w:color="auto"/>
        </w:pBdr>
      </w:pPr>
    </w:p>
    <w:p w:rsidR="00731EC9" w:rsidRDefault="00731EC9" w:rsidP="00731EC9"/>
    <w:p w:rsidR="00731EC9" w:rsidRPr="000638A1" w:rsidRDefault="000638A1" w:rsidP="000638A1">
      <w:pPr>
        <w:rPr>
          <w:b/>
          <w:color w:val="003300"/>
        </w:rPr>
      </w:pPr>
      <w:r w:rsidRPr="000638A1">
        <w:rPr>
          <w:b/>
          <w:color w:val="003300"/>
        </w:rPr>
        <w:t>Professor’s Contact Information</w:t>
      </w:r>
    </w:p>
    <w:tbl>
      <w:tblPr>
        <w:tblW w:w="0" w:type="auto"/>
        <w:tblLook w:val="01E0" w:firstRow="1" w:lastRow="1" w:firstColumn="1" w:lastColumn="1" w:noHBand="0" w:noVBand="0"/>
      </w:tblPr>
      <w:tblGrid>
        <w:gridCol w:w="2056"/>
        <w:gridCol w:w="6584"/>
      </w:tblGrid>
      <w:tr w:rsidR="000638A1" w:rsidTr="00EB399C">
        <w:tc>
          <w:tcPr>
            <w:tcW w:w="2088" w:type="dxa"/>
            <w:vAlign w:val="center"/>
          </w:tcPr>
          <w:p w:rsidR="000638A1" w:rsidRPr="00EB399C" w:rsidRDefault="000638A1" w:rsidP="00EB399C">
            <w:pPr>
              <w:jc w:val="right"/>
              <w:rPr>
                <w:b/>
                <w:sz w:val="20"/>
                <w:szCs w:val="20"/>
              </w:rPr>
            </w:pPr>
            <w:r w:rsidRPr="00EB399C">
              <w:rPr>
                <w:b/>
                <w:sz w:val="20"/>
                <w:szCs w:val="20"/>
              </w:rPr>
              <w:t>Office Phone</w:t>
            </w:r>
          </w:p>
        </w:tc>
        <w:tc>
          <w:tcPr>
            <w:tcW w:w="6768" w:type="dxa"/>
            <w:vAlign w:val="center"/>
          </w:tcPr>
          <w:p w:rsidR="000638A1" w:rsidRDefault="00561B24" w:rsidP="000638A1">
            <w:r>
              <w:t>(972) 883-2289</w:t>
            </w:r>
          </w:p>
        </w:tc>
      </w:tr>
      <w:tr w:rsidR="000638A1" w:rsidTr="00EB399C">
        <w:tc>
          <w:tcPr>
            <w:tcW w:w="2088" w:type="dxa"/>
            <w:vAlign w:val="center"/>
          </w:tcPr>
          <w:p w:rsidR="000638A1" w:rsidRPr="00EB399C" w:rsidRDefault="000638A1" w:rsidP="00EB399C">
            <w:pPr>
              <w:jc w:val="right"/>
              <w:rPr>
                <w:b/>
                <w:sz w:val="20"/>
                <w:szCs w:val="20"/>
              </w:rPr>
            </w:pPr>
            <w:r w:rsidRPr="00EB399C">
              <w:rPr>
                <w:b/>
                <w:sz w:val="20"/>
                <w:szCs w:val="20"/>
              </w:rPr>
              <w:t>Other Phone</w:t>
            </w:r>
          </w:p>
        </w:tc>
        <w:tc>
          <w:tcPr>
            <w:tcW w:w="6768" w:type="dxa"/>
            <w:vAlign w:val="center"/>
          </w:tcPr>
          <w:p w:rsidR="000638A1" w:rsidRDefault="00561B24" w:rsidP="000638A1">
            <w:r>
              <w:t>(972) 883-2185 (CS Department Phone Number)</w:t>
            </w:r>
          </w:p>
        </w:tc>
      </w:tr>
      <w:tr w:rsidR="000638A1" w:rsidTr="00EB399C">
        <w:tc>
          <w:tcPr>
            <w:tcW w:w="2088" w:type="dxa"/>
            <w:vAlign w:val="center"/>
          </w:tcPr>
          <w:p w:rsidR="000638A1" w:rsidRPr="00EB399C" w:rsidRDefault="000638A1" w:rsidP="00EB399C">
            <w:pPr>
              <w:jc w:val="right"/>
              <w:rPr>
                <w:b/>
                <w:sz w:val="20"/>
                <w:szCs w:val="20"/>
              </w:rPr>
            </w:pPr>
            <w:r w:rsidRPr="00EB399C">
              <w:rPr>
                <w:b/>
                <w:sz w:val="20"/>
                <w:szCs w:val="20"/>
              </w:rPr>
              <w:t>Office Location</w:t>
            </w:r>
          </w:p>
        </w:tc>
        <w:tc>
          <w:tcPr>
            <w:tcW w:w="6768" w:type="dxa"/>
            <w:vAlign w:val="center"/>
          </w:tcPr>
          <w:p w:rsidR="000638A1" w:rsidRDefault="00561B24" w:rsidP="000638A1">
            <w:r>
              <w:t>ECS South 4.210</w:t>
            </w:r>
          </w:p>
        </w:tc>
      </w:tr>
      <w:tr w:rsidR="000638A1" w:rsidTr="00EB399C">
        <w:tc>
          <w:tcPr>
            <w:tcW w:w="2088" w:type="dxa"/>
            <w:vAlign w:val="center"/>
          </w:tcPr>
          <w:p w:rsidR="000638A1" w:rsidRPr="00EB399C" w:rsidRDefault="000638A1" w:rsidP="00EB399C">
            <w:pPr>
              <w:jc w:val="right"/>
              <w:rPr>
                <w:b/>
                <w:sz w:val="20"/>
                <w:szCs w:val="20"/>
              </w:rPr>
            </w:pPr>
            <w:r w:rsidRPr="00EB399C">
              <w:rPr>
                <w:b/>
                <w:sz w:val="20"/>
                <w:szCs w:val="20"/>
              </w:rPr>
              <w:t>Email Address</w:t>
            </w:r>
          </w:p>
        </w:tc>
        <w:tc>
          <w:tcPr>
            <w:tcW w:w="6768" w:type="dxa"/>
            <w:vAlign w:val="center"/>
          </w:tcPr>
          <w:p w:rsidR="000638A1" w:rsidRDefault="00561B24" w:rsidP="000638A1">
            <w:r>
              <w:t>ravip@utdallas.edu</w:t>
            </w:r>
          </w:p>
        </w:tc>
      </w:tr>
      <w:tr w:rsidR="000638A1" w:rsidTr="00EB399C">
        <w:tc>
          <w:tcPr>
            <w:tcW w:w="2088" w:type="dxa"/>
            <w:vAlign w:val="center"/>
          </w:tcPr>
          <w:p w:rsidR="000638A1" w:rsidRPr="00EB399C" w:rsidRDefault="000638A1" w:rsidP="00EB399C">
            <w:pPr>
              <w:jc w:val="right"/>
              <w:rPr>
                <w:b/>
                <w:sz w:val="20"/>
                <w:szCs w:val="20"/>
              </w:rPr>
            </w:pPr>
            <w:r w:rsidRPr="00EB399C">
              <w:rPr>
                <w:b/>
                <w:sz w:val="20"/>
                <w:szCs w:val="20"/>
              </w:rPr>
              <w:t>Office Hours</w:t>
            </w:r>
          </w:p>
        </w:tc>
        <w:tc>
          <w:tcPr>
            <w:tcW w:w="6768" w:type="dxa"/>
            <w:vAlign w:val="center"/>
          </w:tcPr>
          <w:p w:rsidR="000638A1" w:rsidRDefault="003A4F50" w:rsidP="008D2F5D">
            <w:r>
              <w:t>Tuesdays, Thursdays: 10-11 am.</w:t>
            </w:r>
          </w:p>
        </w:tc>
      </w:tr>
      <w:tr w:rsidR="000638A1" w:rsidTr="00EB399C">
        <w:tc>
          <w:tcPr>
            <w:tcW w:w="2088" w:type="dxa"/>
            <w:vAlign w:val="center"/>
          </w:tcPr>
          <w:p w:rsidR="000638A1" w:rsidRPr="00EB399C" w:rsidRDefault="000638A1" w:rsidP="00EB399C">
            <w:pPr>
              <w:jc w:val="right"/>
              <w:rPr>
                <w:b/>
                <w:sz w:val="20"/>
                <w:szCs w:val="20"/>
              </w:rPr>
            </w:pPr>
            <w:r w:rsidRPr="00EB399C">
              <w:rPr>
                <w:b/>
                <w:sz w:val="20"/>
                <w:szCs w:val="20"/>
              </w:rPr>
              <w:t>Other Information</w:t>
            </w:r>
          </w:p>
        </w:tc>
        <w:tc>
          <w:tcPr>
            <w:tcW w:w="6768" w:type="dxa"/>
            <w:vAlign w:val="center"/>
          </w:tcPr>
          <w:p w:rsidR="000638A1" w:rsidRDefault="00606E56" w:rsidP="000638A1">
            <w:r>
              <w:t xml:space="preserve">I scan the </w:t>
            </w:r>
            <w:proofErr w:type="spellStart"/>
            <w:r w:rsidRPr="00606E56">
              <w:rPr>
                <w:i/>
              </w:rPr>
              <w:t>elearning</w:t>
            </w:r>
            <w:proofErr w:type="spellEnd"/>
            <w:r w:rsidR="00561B24">
              <w:t xml:space="preserve"> discussion group and emails occasionally. The best way to communicate with me is through the UTD email address above.</w:t>
            </w:r>
            <w:r>
              <w:t xml:space="preserve"> Email me if you wish to make an appointment (no appointment needed for office hours)</w:t>
            </w:r>
          </w:p>
        </w:tc>
      </w:tr>
    </w:tbl>
    <w:p w:rsidR="000638A1" w:rsidRDefault="000638A1" w:rsidP="000638A1"/>
    <w:p w:rsidR="00731EC9" w:rsidRPr="000638A1" w:rsidRDefault="000638A1">
      <w:pPr>
        <w:rPr>
          <w:color w:val="003300"/>
        </w:rPr>
      </w:pPr>
      <w:r w:rsidRPr="000638A1">
        <w:rPr>
          <w:b/>
          <w:color w:val="003300"/>
        </w:rPr>
        <w:t>General Course Information</w:t>
      </w:r>
    </w:p>
    <w:tbl>
      <w:tblPr>
        <w:tblW w:w="0" w:type="auto"/>
        <w:tblLook w:val="01E0" w:firstRow="1" w:lastRow="1" w:firstColumn="1" w:lastColumn="1" w:noHBand="0" w:noVBand="0"/>
      </w:tblPr>
      <w:tblGrid>
        <w:gridCol w:w="2054"/>
        <w:gridCol w:w="6586"/>
      </w:tblGrid>
      <w:tr w:rsidR="000638A1" w:rsidTr="00EB399C">
        <w:trPr>
          <w:trHeight w:val="873"/>
        </w:trPr>
        <w:tc>
          <w:tcPr>
            <w:tcW w:w="2088" w:type="dxa"/>
            <w:vAlign w:val="center"/>
          </w:tcPr>
          <w:p w:rsidR="000638A1" w:rsidRPr="00EB399C" w:rsidRDefault="000638A1" w:rsidP="00EB399C">
            <w:pPr>
              <w:jc w:val="right"/>
              <w:rPr>
                <w:b/>
                <w:sz w:val="20"/>
                <w:szCs w:val="20"/>
              </w:rPr>
            </w:pPr>
            <w:r w:rsidRPr="00EB399C">
              <w:rPr>
                <w:b/>
                <w:sz w:val="20"/>
                <w:szCs w:val="20"/>
              </w:rPr>
              <w:t>Pre-requisites, Co-requisites, &amp; other restrictions</w:t>
            </w:r>
          </w:p>
        </w:tc>
        <w:tc>
          <w:tcPr>
            <w:tcW w:w="6768" w:type="dxa"/>
            <w:vAlign w:val="center"/>
          </w:tcPr>
          <w:p w:rsidR="000638A1" w:rsidRDefault="006E66A2">
            <w:r>
              <w:t>Pre-requisites: CS 6378</w:t>
            </w:r>
            <w:r w:rsidR="00561B24">
              <w:t xml:space="preserve"> or </w:t>
            </w:r>
            <w:r>
              <w:t>CS 6390</w:t>
            </w:r>
            <w:r w:rsidR="0093416D">
              <w:t>, programming skills in C/C++ and/or in Java, </w:t>
            </w:r>
            <w:r>
              <w:t xml:space="preserve">socket programming skills, </w:t>
            </w:r>
            <w:r w:rsidR="0093416D">
              <w:t>and working knowledge of a UNIX-based operating system.</w:t>
            </w:r>
          </w:p>
        </w:tc>
      </w:tr>
      <w:tr w:rsidR="000638A1" w:rsidTr="00EB399C">
        <w:tc>
          <w:tcPr>
            <w:tcW w:w="2088" w:type="dxa"/>
            <w:vAlign w:val="center"/>
          </w:tcPr>
          <w:p w:rsidR="000638A1" w:rsidRPr="00EB399C" w:rsidRDefault="000638A1" w:rsidP="00EB399C">
            <w:pPr>
              <w:jc w:val="right"/>
              <w:rPr>
                <w:b/>
                <w:sz w:val="20"/>
                <w:szCs w:val="20"/>
              </w:rPr>
            </w:pPr>
            <w:r w:rsidRPr="00EB399C">
              <w:rPr>
                <w:b/>
                <w:sz w:val="20"/>
                <w:szCs w:val="20"/>
              </w:rPr>
              <w:t>Course Description</w:t>
            </w:r>
          </w:p>
        </w:tc>
        <w:tc>
          <w:tcPr>
            <w:tcW w:w="6768" w:type="dxa"/>
            <w:vAlign w:val="center"/>
          </w:tcPr>
          <w:p w:rsidR="000638A1" w:rsidRDefault="006E66A2">
            <w:r>
              <w:t>Topics include coping with mobility of computing systems, data management, reliability issues, packet transmission, mobile IP, end-to-end reliable communication, channel and other resource allocation, slot assignment, routing protocols, and issues in mobile wireless networks (without base stations).</w:t>
            </w:r>
          </w:p>
        </w:tc>
      </w:tr>
      <w:tr w:rsidR="000638A1" w:rsidTr="00EB399C">
        <w:tc>
          <w:tcPr>
            <w:tcW w:w="2088" w:type="dxa"/>
            <w:vAlign w:val="center"/>
          </w:tcPr>
          <w:p w:rsidR="000638A1" w:rsidRPr="00EB399C" w:rsidRDefault="00086CE2" w:rsidP="00EB399C">
            <w:pPr>
              <w:jc w:val="right"/>
              <w:rPr>
                <w:b/>
                <w:sz w:val="20"/>
                <w:szCs w:val="20"/>
              </w:rPr>
            </w:pPr>
            <w:r>
              <w:rPr>
                <w:b/>
                <w:sz w:val="20"/>
                <w:szCs w:val="20"/>
              </w:rPr>
              <w:t>Course Learning Objectives</w:t>
            </w:r>
          </w:p>
        </w:tc>
        <w:tc>
          <w:tcPr>
            <w:tcW w:w="6768" w:type="dxa"/>
            <w:vAlign w:val="center"/>
          </w:tcPr>
          <w:p w:rsidR="006B7686" w:rsidRDefault="00086CE2" w:rsidP="00EB399C">
            <w:pPr>
              <w:numPr>
                <w:ilvl w:val="0"/>
                <w:numId w:val="5"/>
              </w:numPr>
              <w:spacing w:beforeAutospacing="1" w:afterAutospacing="1"/>
              <w:rPr>
                <w:rFonts w:cs="Times New Roman"/>
              </w:rPr>
            </w:pPr>
            <w:r>
              <w:rPr>
                <w:rFonts w:cs="Times New Roman"/>
              </w:rPr>
              <w:t>Models of Mobile Computing Systems</w:t>
            </w:r>
          </w:p>
          <w:p w:rsidR="00086CE2" w:rsidRDefault="00086CE2" w:rsidP="00EB399C">
            <w:pPr>
              <w:numPr>
                <w:ilvl w:val="0"/>
                <w:numId w:val="5"/>
              </w:numPr>
              <w:spacing w:beforeAutospacing="1" w:afterAutospacing="1"/>
              <w:rPr>
                <w:rFonts w:cs="Times New Roman"/>
              </w:rPr>
            </w:pPr>
            <w:r>
              <w:rPr>
                <w:rFonts w:cs="Times New Roman"/>
              </w:rPr>
              <w:t>Channel Access and Channel Allocation Protocols</w:t>
            </w:r>
          </w:p>
          <w:p w:rsidR="00086CE2" w:rsidRDefault="00086CE2" w:rsidP="00EB399C">
            <w:pPr>
              <w:numPr>
                <w:ilvl w:val="0"/>
                <w:numId w:val="5"/>
              </w:numPr>
              <w:spacing w:beforeAutospacing="1" w:afterAutospacing="1"/>
              <w:rPr>
                <w:rFonts w:cs="Times New Roman"/>
              </w:rPr>
            </w:pPr>
            <w:r>
              <w:rPr>
                <w:rFonts w:cs="Times New Roman"/>
              </w:rPr>
              <w:t>Routing in Mobile Ad Hoc Networks</w:t>
            </w:r>
          </w:p>
          <w:p w:rsidR="00086CE2" w:rsidRDefault="00086CE2" w:rsidP="00EB399C">
            <w:pPr>
              <w:numPr>
                <w:ilvl w:val="0"/>
                <w:numId w:val="5"/>
              </w:numPr>
              <w:spacing w:beforeAutospacing="1" w:afterAutospacing="1"/>
              <w:rPr>
                <w:rFonts w:cs="Times New Roman"/>
              </w:rPr>
            </w:pPr>
            <w:r>
              <w:rPr>
                <w:rFonts w:cs="Times New Roman"/>
              </w:rPr>
              <w:t>Mobile IP</w:t>
            </w:r>
          </w:p>
          <w:p w:rsidR="00086CE2" w:rsidRDefault="00086CE2" w:rsidP="00EB399C">
            <w:pPr>
              <w:numPr>
                <w:ilvl w:val="0"/>
                <w:numId w:val="5"/>
              </w:numPr>
              <w:spacing w:beforeAutospacing="1" w:afterAutospacing="1"/>
              <w:rPr>
                <w:rFonts w:cs="Times New Roman"/>
              </w:rPr>
            </w:pPr>
            <w:r>
              <w:rPr>
                <w:rFonts w:cs="Times New Roman"/>
              </w:rPr>
              <w:t>Transport Protocols for Mobile Networks</w:t>
            </w:r>
          </w:p>
          <w:p w:rsidR="00086CE2" w:rsidRDefault="00086CE2" w:rsidP="00EB399C">
            <w:pPr>
              <w:numPr>
                <w:ilvl w:val="0"/>
                <w:numId w:val="5"/>
              </w:numPr>
              <w:spacing w:beforeAutospacing="1" w:afterAutospacing="1"/>
              <w:rPr>
                <w:rFonts w:cs="Times New Roman"/>
              </w:rPr>
            </w:pPr>
            <w:r>
              <w:rPr>
                <w:rFonts w:cs="Times New Roman"/>
              </w:rPr>
              <w:t>Applications for Mobile Networks</w:t>
            </w:r>
          </w:p>
          <w:p w:rsidR="00086CE2" w:rsidRPr="00EB399C" w:rsidRDefault="00086CE2" w:rsidP="00EB399C">
            <w:pPr>
              <w:numPr>
                <w:ilvl w:val="0"/>
                <w:numId w:val="5"/>
              </w:numPr>
              <w:spacing w:beforeAutospacing="1" w:afterAutospacing="1"/>
              <w:rPr>
                <w:rFonts w:cs="Times New Roman"/>
              </w:rPr>
            </w:pPr>
            <w:r>
              <w:rPr>
                <w:rFonts w:cs="Times New Roman"/>
              </w:rPr>
              <w:t>Sensor networks</w:t>
            </w:r>
          </w:p>
        </w:tc>
      </w:tr>
      <w:tr w:rsidR="000638A1" w:rsidTr="00EB399C">
        <w:tc>
          <w:tcPr>
            <w:tcW w:w="2088" w:type="dxa"/>
            <w:vAlign w:val="center"/>
          </w:tcPr>
          <w:p w:rsidR="000638A1" w:rsidRPr="00EB399C" w:rsidRDefault="000638A1" w:rsidP="00EB399C">
            <w:pPr>
              <w:jc w:val="right"/>
              <w:rPr>
                <w:b/>
                <w:sz w:val="20"/>
                <w:szCs w:val="20"/>
              </w:rPr>
            </w:pPr>
            <w:r w:rsidRPr="00EB399C">
              <w:rPr>
                <w:b/>
                <w:sz w:val="20"/>
                <w:szCs w:val="20"/>
              </w:rPr>
              <w:t>Required</w:t>
            </w:r>
            <w:r w:rsidR="00FE02C5" w:rsidRPr="00EB399C">
              <w:rPr>
                <w:b/>
                <w:sz w:val="20"/>
                <w:szCs w:val="20"/>
              </w:rPr>
              <w:t xml:space="preserve"> Texts &amp; Materials</w:t>
            </w:r>
          </w:p>
        </w:tc>
        <w:tc>
          <w:tcPr>
            <w:tcW w:w="6768" w:type="dxa"/>
            <w:vAlign w:val="center"/>
          </w:tcPr>
          <w:p w:rsidR="006B7686" w:rsidRPr="00EB399C" w:rsidRDefault="006B7686" w:rsidP="00EB399C">
            <w:pPr>
              <w:autoSpaceDE w:val="0"/>
              <w:autoSpaceDN w:val="0"/>
              <w:adjustRightInd w:val="0"/>
              <w:rPr>
                <w:rFonts w:cs="Times New Roman"/>
              </w:rPr>
            </w:pPr>
            <w:r w:rsidRPr="00EB399C">
              <w:rPr>
                <w:rFonts w:cs="Times New Roman"/>
              </w:rPr>
              <w:t>There is no textbook for the course. A manuscript prepared by the instructor will be distributed to the class during the semester. The use of this manuscript is restricted to the course. The instructor has exclusive rights to copy, store, and disseminate this manuscript. Others should obtain written permission of the instructor to do the same. Various</w:t>
            </w:r>
          </w:p>
          <w:p w:rsidR="006B7686" w:rsidRPr="00EB399C" w:rsidRDefault="006B7686" w:rsidP="00EB399C">
            <w:pPr>
              <w:autoSpaceDE w:val="0"/>
              <w:autoSpaceDN w:val="0"/>
              <w:adjustRightInd w:val="0"/>
              <w:rPr>
                <w:rFonts w:cs="Times New Roman"/>
              </w:rPr>
            </w:pPr>
            <w:proofErr w:type="gramStart"/>
            <w:r w:rsidRPr="00EB399C">
              <w:rPr>
                <w:rFonts w:cs="Times New Roman"/>
              </w:rPr>
              <w:t>research</w:t>
            </w:r>
            <w:proofErr w:type="gramEnd"/>
            <w:r w:rsidRPr="00EB399C">
              <w:rPr>
                <w:rFonts w:cs="Times New Roman"/>
              </w:rPr>
              <w:t xml:space="preserve"> papers published in journals and conference proceedings, Internet Drafts and RFCs will also constitute the reading list for the course.</w:t>
            </w:r>
          </w:p>
          <w:p w:rsidR="000638A1" w:rsidRPr="006B7686" w:rsidRDefault="000638A1"/>
        </w:tc>
      </w:tr>
      <w:tr w:rsidR="000638A1" w:rsidTr="00EB399C">
        <w:tc>
          <w:tcPr>
            <w:tcW w:w="2088" w:type="dxa"/>
            <w:vAlign w:val="center"/>
          </w:tcPr>
          <w:p w:rsidR="000638A1" w:rsidRPr="00EB399C" w:rsidRDefault="00FE02C5" w:rsidP="00EB399C">
            <w:pPr>
              <w:jc w:val="right"/>
              <w:rPr>
                <w:b/>
                <w:sz w:val="20"/>
                <w:szCs w:val="20"/>
              </w:rPr>
            </w:pPr>
            <w:r w:rsidRPr="00EB399C">
              <w:rPr>
                <w:b/>
                <w:sz w:val="20"/>
                <w:szCs w:val="20"/>
              </w:rPr>
              <w:t xml:space="preserve">Suggested Texts, </w:t>
            </w:r>
            <w:smartTag w:uri="urn:schemas-microsoft-com:office:smarttags" w:element="place">
              <w:smartTag w:uri="urn:schemas-microsoft-com:office:smarttags" w:element="City">
                <w:r w:rsidRPr="00EB399C">
                  <w:rPr>
                    <w:b/>
                    <w:sz w:val="20"/>
                    <w:szCs w:val="20"/>
                  </w:rPr>
                  <w:t>Readings</w:t>
                </w:r>
              </w:smartTag>
            </w:smartTag>
            <w:r w:rsidRPr="00EB399C">
              <w:rPr>
                <w:b/>
                <w:sz w:val="20"/>
                <w:szCs w:val="20"/>
              </w:rPr>
              <w:t>, &amp; Materials</w:t>
            </w:r>
          </w:p>
        </w:tc>
        <w:tc>
          <w:tcPr>
            <w:tcW w:w="6768" w:type="dxa"/>
            <w:vAlign w:val="center"/>
          </w:tcPr>
          <w:p w:rsidR="000638A1" w:rsidRDefault="006B7686" w:rsidP="0093416D">
            <w:r w:rsidRPr="00EB399C">
              <w:rPr>
                <w:rFonts w:hAnsi="Symbol" w:cs="Times New Roman"/>
              </w:rPr>
              <w:t>None.</w:t>
            </w:r>
          </w:p>
        </w:tc>
      </w:tr>
    </w:tbl>
    <w:p w:rsidR="008A2AED" w:rsidRDefault="008A2AED">
      <w:pPr>
        <w:rPr>
          <w:b/>
        </w:rPr>
      </w:pPr>
    </w:p>
    <w:p w:rsidR="00FE02C5" w:rsidRDefault="00FE02C5">
      <w:r>
        <w:rPr>
          <w:b/>
        </w:rPr>
        <w:lastRenderedPageBreak/>
        <w:t>Assignments &amp; Academic Calendar</w:t>
      </w:r>
    </w:p>
    <w:p w:rsidR="00FE02C5" w:rsidRDefault="00FE02C5">
      <w:pPr>
        <w:rPr>
          <w:i/>
          <w:sz w:val="20"/>
          <w:szCs w:val="20"/>
        </w:rPr>
      </w:pPr>
      <w:r w:rsidRPr="00FE02C5">
        <w:rPr>
          <w:i/>
          <w:sz w:val="20"/>
          <w:szCs w:val="20"/>
        </w:rPr>
        <w:t>[Topics, Reading Assignments, Due Dates, Exam Dates]</w:t>
      </w:r>
    </w:p>
    <w:tbl>
      <w:tblPr>
        <w:tblW w:w="0" w:type="auto"/>
        <w:tblLook w:val="01E0" w:firstRow="1" w:lastRow="1" w:firstColumn="1" w:lastColumn="1" w:noHBand="0" w:noVBand="0"/>
      </w:tblPr>
      <w:tblGrid>
        <w:gridCol w:w="2225"/>
        <w:gridCol w:w="6415"/>
      </w:tblGrid>
      <w:tr w:rsidR="00CF6F4A" w:rsidRPr="00EB399C" w:rsidTr="00EB399C">
        <w:tc>
          <w:tcPr>
            <w:tcW w:w="2268" w:type="dxa"/>
            <w:vAlign w:val="center"/>
          </w:tcPr>
          <w:p w:rsidR="00CF6F4A" w:rsidRPr="00EB399C" w:rsidRDefault="004D139F" w:rsidP="004D139F">
            <w:pPr>
              <w:rPr>
                <w:b/>
                <w:sz w:val="20"/>
                <w:szCs w:val="20"/>
              </w:rPr>
            </w:pPr>
            <w:r w:rsidRPr="00EB399C">
              <w:rPr>
                <w:b/>
                <w:sz w:val="20"/>
                <w:szCs w:val="20"/>
              </w:rPr>
              <w:t xml:space="preserve">Number of </w:t>
            </w:r>
            <w:r w:rsidR="00A0067E" w:rsidRPr="00EB399C">
              <w:rPr>
                <w:b/>
                <w:sz w:val="20"/>
                <w:szCs w:val="20"/>
              </w:rPr>
              <w:t>Lectures</w:t>
            </w:r>
          </w:p>
        </w:tc>
        <w:tc>
          <w:tcPr>
            <w:tcW w:w="6588" w:type="dxa"/>
            <w:vAlign w:val="center"/>
          </w:tcPr>
          <w:p w:rsidR="00CF6F4A" w:rsidRPr="00EB399C" w:rsidRDefault="00A0067E">
            <w:pPr>
              <w:rPr>
                <w:b/>
                <w:sz w:val="20"/>
                <w:szCs w:val="20"/>
              </w:rPr>
            </w:pPr>
            <w:r w:rsidRPr="00EB399C">
              <w:rPr>
                <w:b/>
                <w:sz w:val="20"/>
                <w:szCs w:val="20"/>
              </w:rPr>
              <w:t>Topic</w:t>
            </w:r>
          </w:p>
        </w:tc>
      </w:tr>
      <w:tr w:rsidR="00CF6F4A" w:rsidRPr="00EB399C" w:rsidTr="00EB399C">
        <w:tc>
          <w:tcPr>
            <w:tcW w:w="2268" w:type="dxa"/>
            <w:vAlign w:val="center"/>
          </w:tcPr>
          <w:p w:rsidR="00CF6F4A" w:rsidRPr="00EB399C" w:rsidRDefault="006B7686" w:rsidP="00EB399C">
            <w:pPr>
              <w:jc w:val="right"/>
              <w:rPr>
                <w:b/>
              </w:rPr>
            </w:pPr>
            <w:r w:rsidRPr="00EB399C">
              <w:rPr>
                <w:b/>
              </w:rPr>
              <w:t>2</w:t>
            </w:r>
          </w:p>
        </w:tc>
        <w:tc>
          <w:tcPr>
            <w:tcW w:w="6588" w:type="dxa"/>
            <w:vAlign w:val="center"/>
          </w:tcPr>
          <w:p w:rsidR="00CF6F4A" w:rsidRPr="004D139F" w:rsidRDefault="0093416D">
            <w:r w:rsidRPr="004D139F">
              <w:t>Introduction</w:t>
            </w:r>
          </w:p>
        </w:tc>
      </w:tr>
      <w:tr w:rsidR="00CF6F4A" w:rsidRPr="00EB399C" w:rsidTr="00EB399C">
        <w:tc>
          <w:tcPr>
            <w:tcW w:w="2268" w:type="dxa"/>
            <w:vAlign w:val="center"/>
          </w:tcPr>
          <w:p w:rsidR="00CF6F4A" w:rsidRPr="00EB399C" w:rsidRDefault="006B7686" w:rsidP="00EB399C">
            <w:pPr>
              <w:jc w:val="right"/>
              <w:rPr>
                <w:b/>
              </w:rPr>
            </w:pPr>
            <w:r w:rsidRPr="00EB399C">
              <w:rPr>
                <w:b/>
              </w:rPr>
              <w:t>2</w:t>
            </w:r>
          </w:p>
        </w:tc>
        <w:tc>
          <w:tcPr>
            <w:tcW w:w="6588" w:type="dxa"/>
            <w:vAlign w:val="center"/>
          </w:tcPr>
          <w:p w:rsidR="00CF6F4A" w:rsidRPr="004D139F" w:rsidRDefault="006B7686">
            <w:r w:rsidRPr="004D139F">
              <w:t>System models</w:t>
            </w:r>
          </w:p>
        </w:tc>
      </w:tr>
      <w:tr w:rsidR="00CF6F4A" w:rsidRPr="00EB399C" w:rsidTr="00EB399C">
        <w:tc>
          <w:tcPr>
            <w:tcW w:w="2268" w:type="dxa"/>
            <w:vAlign w:val="center"/>
          </w:tcPr>
          <w:p w:rsidR="00CF6F4A" w:rsidRPr="00EB399C" w:rsidRDefault="009906CF" w:rsidP="00EB399C">
            <w:pPr>
              <w:jc w:val="right"/>
              <w:rPr>
                <w:b/>
              </w:rPr>
            </w:pPr>
            <w:r w:rsidRPr="00EB399C">
              <w:rPr>
                <w:b/>
              </w:rPr>
              <w:t>7</w:t>
            </w:r>
          </w:p>
        </w:tc>
        <w:tc>
          <w:tcPr>
            <w:tcW w:w="6588" w:type="dxa"/>
            <w:vAlign w:val="center"/>
          </w:tcPr>
          <w:p w:rsidR="00CF6F4A" w:rsidRPr="004D139F" w:rsidRDefault="006B7686">
            <w:r w:rsidRPr="004D139F">
              <w:t>Channel access and allocation</w:t>
            </w:r>
          </w:p>
        </w:tc>
      </w:tr>
      <w:tr w:rsidR="00CF6F4A" w:rsidRPr="00EB399C" w:rsidTr="00EB399C">
        <w:tc>
          <w:tcPr>
            <w:tcW w:w="2268" w:type="dxa"/>
            <w:vAlign w:val="center"/>
          </w:tcPr>
          <w:p w:rsidR="00CF6F4A" w:rsidRPr="00EB399C" w:rsidRDefault="006B7686" w:rsidP="00EB399C">
            <w:pPr>
              <w:jc w:val="right"/>
              <w:rPr>
                <w:b/>
              </w:rPr>
            </w:pPr>
            <w:r w:rsidRPr="00EB399C">
              <w:rPr>
                <w:b/>
              </w:rPr>
              <w:t>5</w:t>
            </w:r>
          </w:p>
        </w:tc>
        <w:tc>
          <w:tcPr>
            <w:tcW w:w="6588" w:type="dxa"/>
            <w:vAlign w:val="center"/>
          </w:tcPr>
          <w:p w:rsidR="00CF6F4A" w:rsidRPr="004D139F" w:rsidRDefault="006B7686">
            <w:r w:rsidRPr="004D139F">
              <w:t>Routing in mobile ad hoc networks</w:t>
            </w:r>
          </w:p>
        </w:tc>
      </w:tr>
      <w:tr w:rsidR="00CF6F4A" w:rsidRPr="00EB399C" w:rsidTr="00EB399C">
        <w:tc>
          <w:tcPr>
            <w:tcW w:w="2268" w:type="dxa"/>
            <w:vAlign w:val="center"/>
          </w:tcPr>
          <w:p w:rsidR="00CF6F4A" w:rsidRPr="00EB399C" w:rsidRDefault="009906CF" w:rsidP="00EB399C">
            <w:pPr>
              <w:jc w:val="right"/>
              <w:rPr>
                <w:b/>
              </w:rPr>
            </w:pPr>
            <w:r w:rsidRPr="00EB399C">
              <w:rPr>
                <w:b/>
              </w:rPr>
              <w:t>5</w:t>
            </w:r>
          </w:p>
        </w:tc>
        <w:tc>
          <w:tcPr>
            <w:tcW w:w="6588" w:type="dxa"/>
            <w:vAlign w:val="center"/>
          </w:tcPr>
          <w:p w:rsidR="004F69BF" w:rsidRPr="004D139F" w:rsidRDefault="006B7686">
            <w:r w:rsidRPr="004D139F">
              <w:t>Mobile IP</w:t>
            </w:r>
          </w:p>
        </w:tc>
      </w:tr>
      <w:tr w:rsidR="004F69BF" w:rsidRPr="00EB399C" w:rsidTr="00EB399C">
        <w:tc>
          <w:tcPr>
            <w:tcW w:w="2268" w:type="dxa"/>
            <w:vAlign w:val="center"/>
          </w:tcPr>
          <w:p w:rsidR="004F69BF" w:rsidRPr="00EB399C" w:rsidRDefault="0090598E" w:rsidP="00EB399C">
            <w:pPr>
              <w:jc w:val="right"/>
              <w:rPr>
                <w:b/>
              </w:rPr>
            </w:pPr>
            <w:r>
              <w:rPr>
                <w:b/>
              </w:rPr>
              <w:t>3</w:t>
            </w:r>
          </w:p>
        </w:tc>
        <w:tc>
          <w:tcPr>
            <w:tcW w:w="6588" w:type="dxa"/>
            <w:vAlign w:val="center"/>
          </w:tcPr>
          <w:p w:rsidR="004F69BF" w:rsidRPr="004D139F" w:rsidRDefault="006B7686">
            <w:r w:rsidRPr="004D139F">
              <w:t>Transport protocols for mobile networks</w:t>
            </w:r>
          </w:p>
        </w:tc>
      </w:tr>
      <w:tr w:rsidR="003A4F50" w:rsidRPr="00EB399C" w:rsidTr="00EB399C">
        <w:tc>
          <w:tcPr>
            <w:tcW w:w="2268" w:type="dxa"/>
            <w:vAlign w:val="center"/>
          </w:tcPr>
          <w:p w:rsidR="003A4F50" w:rsidRDefault="003A4F50" w:rsidP="00EB399C">
            <w:pPr>
              <w:jc w:val="right"/>
              <w:rPr>
                <w:b/>
              </w:rPr>
            </w:pPr>
            <w:r>
              <w:rPr>
                <w:b/>
              </w:rPr>
              <w:t>2</w:t>
            </w:r>
          </w:p>
        </w:tc>
        <w:tc>
          <w:tcPr>
            <w:tcW w:w="6588" w:type="dxa"/>
            <w:vAlign w:val="center"/>
          </w:tcPr>
          <w:p w:rsidR="003A4F50" w:rsidRPr="004D139F" w:rsidRDefault="003A4F50">
            <w:r>
              <w:t>Mobile Applications</w:t>
            </w:r>
          </w:p>
        </w:tc>
      </w:tr>
      <w:tr w:rsidR="006B7686" w:rsidRPr="00EB399C" w:rsidTr="00EB399C">
        <w:tc>
          <w:tcPr>
            <w:tcW w:w="2268" w:type="dxa"/>
            <w:vAlign w:val="center"/>
          </w:tcPr>
          <w:p w:rsidR="006B7686" w:rsidRPr="00EB399C" w:rsidRDefault="003A4F50" w:rsidP="00EB399C">
            <w:pPr>
              <w:jc w:val="right"/>
              <w:rPr>
                <w:b/>
              </w:rPr>
            </w:pPr>
            <w:r>
              <w:rPr>
                <w:b/>
              </w:rPr>
              <w:t>1</w:t>
            </w:r>
          </w:p>
        </w:tc>
        <w:tc>
          <w:tcPr>
            <w:tcW w:w="6588" w:type="dxa"/>
            <w:vAlign w:val="center"/>
          </w:tcPr>
          <w:p w:rsidR="006B7686" w:rsidRPr="004D139F" w:rsidRDefault="006B7686">
            <w:r w:rsidRPr="004D139F">
              <w:t>Sensor networks</w:t>
            </w:r>
          </w:p>
        </w:tc>
      </w:tr>
      <w:tr w:rsidR="00CF6F4A" w:rsidRPr="00EB399C" w:rsidTr="00EB399C">
        <w:tc>
          <w:tcPr>
            <w:tcW w:w="2268" w:type="dxa"/>
            <w:vAlign w:val="center"/>
          </w:tcPr>
          <w:p w:rsidR="00CF6F4A" w:rsidRPr="00EB399C" w:rsidRDefault="005D26C2" w:rsidP="00EB399C">
            <w:pPr>
              <w:jc w:val="right"/>
              <w:rPr>
                <w:b/>
              </w:rPr>
            </w:pPr>
            <w:r w:rsidRPr="00EB399C">
              <w:rPr>
                <w:b/>
              </w:rPr>
              <w:t>Exam Dates and Times</w:t>
            </w:r>
          </w:p>
        </w:tc>
        <w:tc>
          <w:tcPr>
            <w:tcW w:w="6588" w:type="dxa"/>
            <w:vAlign w:val="center"/>
          </w:tcPr>
          <w:p w:rsidR="00FC0722" w:rsidRDefault="00475BE1">
            <w:r>
              <w:t>Midterm Examination 1</w:t>
            </w:r>
            <w:r w:rsidR="004F69BF" w:rsidRPr="004D139F">
              <w:t xml:space="preserve">: </w:t>
            </w:r>
            <w:r w:rsidR="0090598E">
              <w:t>Thurs</w:t>
            </w:r>
            <w:r w:rsidR="008D2F5D">
              <w:t>day</w:t>
            </w:r>
            <w:r w:rsidR="00FC0722" w:rsidRPr="004D139F">
              <w:t xml:space="preserve">, </w:t>
            </w:r>
            <w:r w:rsidR="003A4F50">
              <w:t>February 9</w:t>
            </w:r>
            <w:r>
              <w:t xml:space="preserve"> (during class)</w:t>
            </w:r>
          </w:p>
          <w:p w:rsidR="00475BE1" w:rsidRPr="004D139F" w:rsidRDefault="00475BE1">
            <w:r>
              <w:t>Midterm E</w:t>
            </w:r>
            <w:r w:rsidR="00CA2F96">
              <w:t>xamina</w:t>
            </w:r>
            <w:r w:rsidR="003A4F50">
              <w:t>tion 2: Tuesday, March 28</w:t>
            </w:r>
            <w:r w:rsidR="00E71597">
              <w:t xml:space="preserve"> </w:t>
            </w:r>
            <w:r>
              <w:t>(during class)</w:t>
            </w:r>
          </w:p>
          <w:p w:rsidR="0060030F" w:rsidRPr="004D139F" w:rsidRDefault="00E71597" w:rsidP="0007691C">
            <w:r>
              <w:t>Final Ex</w:t>
            </w:r>
            <w:r w:rsidR="003D4A6B">
              <w:t xml:space="preserve">amination: </w:t>
            </w:r>
            <w:r w:rsidR="0090598E">
              <w:t>As per university schedule for final exams.</w:t>
            </w:r>
          </w:p>
        </w:tc>
      </w:tr>
    </w:tbl>
    <w:p w:rsidR="00CF6F4A" w:rsidRDefault="00CF6F4A">
      <w:pPr>
        <w:rPr>
          <w:sz w:val="20"/>
          <w:szCs w:val="20"/>
        </w:rPr>
      </w:pPr>
    </w:p>
    <w:p w:rsidR="00CF6F4A" w:rsidRPr="00CF6F4A" w:rsidRDefault="00CF6F4A">
      <w:pPr>
        <w:rPr>
          <w:b/>
        </w:rPr>
      </w:pPr>
      <w:r w:rsidRPr="00CF6F4A">
        <w:rPr>
          <w:b/>
        </w:rPr>
        <w:t>Course Policies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7109"/>
      </w:tblGrid>
      <w:tr w:rsidR="00CF6F4A" w:rsidRPr="00EB399C" w:rsidTr="00C77165">
        <w:tc>
          <w:tcPr>
            <w:tcW w:w="1521" w:type="dxa"/>
            <w:vAlign w:val="center"/>
          </w:tcPr>
          <w:p w:rsidR="00CF6F4A" w:rsidRPr="00EB399C" w:rsidRDefault="00CF6F4A" w:rsidP="00EB399C">
            <w:pPr>
              <w:jc w:val="right"/>
              <w:rPr>
                <w:b/>
                <w:sz w:val="20"/>
                <w:szCs w:val="20"/>
              </w:rPr>
            </w:pPr>
            <w:r w:rsidRPr="00EB399C">
              <w:rPr>
                <w:b/>
                <w:sz w:val="20"/>
                <w:szCs w:val="20"/>
              </w:rPr>
              <w:t>Grading (credit) Criteria</w:t>
            </w:r>
          </w:p>
        </w:tc>
        <w:tc>
          <w:tcPr>
            <w:tcW w:w="7109" w:type="dxa"/>
            <w:vAlign w:val="center"/>
          </w:tcPr>
          <w:p w:rsidR="00475BE1" w:rsidRDefault="00475BE1">
            <w:r>
              <w:t xml:space="preserve">Midterm </w:t>
            </w:r>
            <w:r w:rsidR="007C322E">
              <w:t>E</w:t>
            </w:r>
            <w:r w:rsidR="00C722FC" w:rsidRPr="004D139F">
              <w:t>xamination</w:t>
            </w:r>
            <w:r w:rsidR="007C322E">
              <w:t xml:space="preserve"> I</w:t>
            </w:r>
            <w:r w:rsidR="003A4F50">
              <w:t>: 20</w:t>
            </w:r>
            <w:r w:rsidR="007C322E">
              <w:t xml:space="preserve">%, </w:t>
            </w:r>
          </w:p>
          <w:p w:rsidR="00475BE1" w:rsidRDefault="00475BE1">
            <w:r>
              <w:t xml:space="preserve">Midterm Examination 2: 20%, </w:t>
            </w:r>
          </w:p>
          <w:p w:rsidR="00475BE1" w:rsidRDefault="00475BE1">
            <w:r>
              <w:t>Final Examination</w:t>
            </w:r>
            <w:r w:rsidR="003A4F50">
              <w:t>: 30</w:t>
            </w:r>
            <w:r w:rsidR="007C322E">
              <w:t xml:space="preserve">%, </w:t>
            </w:r>
          </w:p>
          <w:p w:rsidR="00CF6F4A" w:rsidRPr="004D139F" w:rsidRDefault="00475BE1">
            <w:r>
              <w:t>Se</w:t>
            </w:r>
            <w:r w:rsidR="003A4F50">
              <w:t>mester-long research project: 30</w:t>
            </w:r>
            <w:r w:rsidR="007C322E">
              <w:t>%</w:t>
            </w:r>
            <w:r w:rsidR="00E17A66" w:rsidRPr="004D139F">
              <w:t>.</w:t>
            </w:r>
          </w:p>
        </w:tc>
      </w:tr>
      <w:tr w:rsidR="00CF6F4A" w:rsidRPr="00EB399C" w:rsidTr="00C77165">
        <w:tc>
          <w:tcPr>
            <w:tcW w:w="1521" w:type="dxa"/>
            <w:vAlign w:val="center"/>
          </w:tcPr>
          <w:p w:rsidR="00CF6F4A" w:rsidRPr="00EB399C" w:rsidRDefault="00CF6F4A" w:rsidP="00EB399C">
            <w:pPr>
              <w:jc w:val="right"/>
              <w:rPr>
                <w:b/>
                <w:sz w:val="20"/>
                <w:szCs w:val="20"/>
              </w:rPr>
            </w:pPr>
            <w:r w:rsidRPr="00EB399C">
              <w:rPr>
                <w:b/>
                <w:sz w:val="20"/>
                <w:szCs w:val="20"/>
              </w:rPr>
              <w:t>Make-up Exams</w:t>
            </w:r>
          </w:p>
        </w:tc>
        <w:tc>
          <w:tcPr>
            <w:tcW w:w="7109" w:type="dxa"/>
            <w:vAlign w:val="center"/>
          </w:tcPr>
          <w:p w:rsidR="00CF6F4A" w:rsidRPr="004D139F" w:rsidRDefault="0060030F">
            <w:r w:rsidRPr="004D139F">
              <w:t>Mak</w:t>
            </w:r>
            <w:r w:rsidR="00E17A66" w:rsidRPr="004D139F">
              <w:t>e</w:t>
            </w:r>
            <w:r w:rsidRPr="004D139F">
              <w:t xml:space="preserve">-up examinations will be offered only if the student has a valid medical reason and produces a doctor’s letter. </w:t>
            </w:r>
          </w:p>
        </w:tc>
      </w:tr>
      <w:tr w:rsidR="00CF6F4A" w:rsidRPr="00EB399C" w:rsidTr="00C77165">
        <w:tc>
          <w:tcPr>
            <w:tcW w:w="1521" w:type="dxa"/>
            <w:vAlign w:val="center"/>
          </w:tcPr>
          <w:p w:rsidR="00CF6F4A" w:rsidRPr="00EB399C" w:rsidRDefault="00CF6F4A" w:rsidP="00EB399C">
            <w:pPr>
              <w:jc w:val="right"/>
              <w:rPr>
                <w:b/>
                <w:sz w:val="20"/>
                <w:szCs w:val="20"/>
              </w:rPr>
            </w:pPr>
            <w:r w:rsidRPr="00EB399C">
              <w:rPr>
                <w:b/>
                <w:sz w:val="20"/>
                <w:szCs w:val="20"/>
              </w:rPr>
              <w:t>Extra Credit</w:t>
            </w:r>
          </w:p>
        </w:tc>
        <w:tc>
          <w:tcPr>
            <w:tcW w:w="7109" w:type="dxa"/>
            <w:vAlign w:val="center"/>
          </w:tcPr>
          <w:p w:rsidR="00CF6F4A" w:rsidRPr="004D139F" w:rsidRDefault="0060030F">
            <w:r w:rsidRPr="004D139F">
              <w:t>No extra credit work will be assigned.</w:t>
            </w:r>
          </w:p>
        </w:tc>
      </w:tr>
      <w:tr w:rsidR="00CF6F4A" w:rsidRPr="00EB399C" w:rsidTr="00C77165">
        <w:tc>
          <w:tcPr>
            <w:tcW w:w="1521" w:type="dxa"/>
            <w:vAlign w:val="center"/>
          </w:tcPr>
          <w:p w:rsidR="00CF6F4A" w:rsidRPr="00EB399C" w:rsidRDefault="00CF6F4A" w:rsidP="00EB399C">
            <w:pPr>
              <w:jc w:val="right"/>
              <w:rPr>
                <w:b/>
                <w:sz w:val="20"/>
                <w:szCs w:val="20"/>
              </w:rPr>
            </w:pPr>
            <w:r w:rsidRPr="00EB399C">
              <w:rPr>
                <w:b/>
                <w:sz w:val="20"/>
                <w:szCs w:val="20"/>
              </w:rPr>
              <w:t>Late Work</w:t>
            </w:r>
          </w:p>
        </w:tc>
        <w:tc>
          <w:tcPr>
            <w:tcW w:w="7109" w:type="dxa"/>
            <w:vAlign w:val="center"/>
          </w:tcPr>
          <w:p w:rsidR="00CF6F4A" w:rsidRPr="004D139F" w:rsidRDefault="00475BE1">
            <w:r>
              <w:t>Project reports and other assignments</w:t>
            </w:r>
            <w:r w:rsidR="0060030F" w:rsidRPr="004D139F">
              <w:t xml:space="preserve"> submitted after the due date will be penalized at the rate of 10% of the total credit for that project/homework for every day (not including weekends and holidays) by which they are late. Late submissions will not be accepted once the solution has been discussed in class and the grade</w:t>
            </w:r>
            <w:r w:rsidR="0062361C" w:rsidRPr="004D139F">
              <w:t>d</w:t>
            </w:r>
            <w:r w:rsidR="0060030F" w:rsidRPr="004D139F">
              <w:t xml:space="preserve"> submissions have been returned.</w:t>
            </w:r>
          </w:p>
        </w:tc>
      </w:tr>
      <w:tr w:rsidR="00CF6F4A" w:rsidRPr="00EB399C" w:rsidTr="00C77165">
        <w:tc>
          <w:tcPr>
            <w:tcW w:w="1521" w:type="dxa"/>
            <w:vAlign w:val="center"/>
          </w:tcPr>
          <w:p w:rsidR="00CF6F4A" w:rsidRPr="00EB399C" w:rsidRDefault="00CF6F4A" w:rsidP="00EB399C">
            <w:pPr>
              <w:jc w:val="right"/>
              <w:rPr>
                <w:b/>
                <w:sz w:val="20"/>
                <w:szCs w:val="20"/>
              </w:rPr>
            </w:pPr>
            <w:r w:rsidRPr="00EB399C">
              <w:rPr>
                <w:b/>
                <w:sz w:val="20"/>
                <w:szCs w:val="20"/>
              </w:rPr>
              <w:t>Special Assignments</w:t>
            </w:r>
          </w:p>
        </w:tc>
        <w:tc>
          <w:tcPr>
            <w:tcW w:w="7109" w:type="dxa"/>
            <w:vAlign w:val="center"/>
          </w:tcPr>
          <w:p w:rsidR="00C722FC" w:rsidRPr="00EB399C" w:rsidRDefault="00475BE1" w:rsidP="00EB399C">
            <w:pPr>
              <w:autoSpaceDE w:val="0"/>
              <w:autoSpaceDN w:val="0"/>
              <w:adjustRightInd w:val="0"/>
              <w:rPr>
                <w:rFonts w:cs="Times New Roman"/>
              </w:rPr>
            </w:pPr>
            <w:r w:rsidRPr="00EB399C">
              <w:rPr>
                <w:b/>
              </w:rPr>
              <w:t xml:space="preserve">Research </w:t>
            </w:r>
            <w:r w:rsidR="00C722FC" w:rsidRPr="00EB399C">
              <w:rPr>
                <w:b/>
              </w:rPr>
              <w:t>project</w:t>
            </w:r>
            <w:r w:rsidR="00C722FC" w:rsidRPr="004D139F">
              <w:t xml:space="preserve">: </w:t>
            </w:r>
            <w:r w:rsidR="00C722FC" w:rsidRPr="00EB399C">
              <w:rPr>
                <w:rFonts w:cs="Times New Roman"/>
              </w:rPr>
              <w:t xml:space="preserve">Multiple project topics will be provided a few weeks into the semester. The project will involve </w:t>
            </w:r>
            <w:r w:rsidR="0090598E">
              <w:rPr>
                <w:rFonts w:cs="Times New Roman"/>
              </w:rPr>
              <w:t xml:space="preserve">a combination of algorithm development, protocol design, </w:t>
            </w:r>
            <w:r w:rsidR="00C722FC" w:rsidRPr="00EB399C">
              <w:rPr>
                <w:rFonts w:cs="Times New Roman"/>
              </w:rPr>
              <w:t xml:space="preserve">and </w:t>
            </w:r>
            <w:r w:rsidR="00C722FC" w:rsidRPr="00EB399C">
              <w:rPr>
                <w:rFonts w:cs="Times New Roman"/>
                <w:i/>
                <w:iCs/>
              </w:rPr>
              <w:t xml:space="preserve">extensive simulation experiments </w:t>
            </w:r>
            <w:r w:rsidR="00C722FC" w:rsidRPr="00EB399C">
              <w:rPr>
                <w:rFonts w:cs="Times New Roman"/>
              </w:rPr>
              <w:t>for</w:t>
            </w:r>
            <w:r w:rsidR="0090598E">
              <w:rPr>
                <w:rFonts w:cs="Times New Roman"/>
              </w:rPr>
              <w:t xml:space="preserve"> performance measurement. S</w:t>
            </w:r>
            <w:r w:rsidR="00C722FC" w:rsidRPr="00EB399C">
              <w:rPr>
                <w:rFonts w:cs="Times New Roman"/>
              </w:rPr>
              <w:t>tudent</w:t>
            </w:r>
            <w:r w:rsidR="0090598E">
              <w:rPr>
                <w:rFonts w:cs="Times New Roman"/>
              </w:rPr>
              <w:t>s will work in small groups and are</w:t>
            </w:r>
            <w:r w:rsidR="00C722FC" w:rsidRPr="00EB399C">
              <w:rPr>
                <w:rFonts w:cs="Times New Roman"/>
              </w:rPr>
              <w:t xml:space="preserve"> expected to</w:t>
            </w:r>
            <w:r w:rsidR="007C322E" w:rsidRPr="00EB399C">
              <w:rPr>
                <w:rFonts w:cs="Times New Roman"/>
              </w:rPr>
              <w:t xml:space="preserve"> </w:t>
            </w:r>
            <w:r w:rsidR="00C722FC" w:rsidRPr="00EB399C">
              <w:rPr>
                <w:rFonts w:cs="Times New Roman"/>
              </w:rPr>
              <w:t>meet the instructor at regular intervals, during office hours or other mutually convenient time, to discuss the solution approach and to report progress. The final project report should be in the form of a research paper that states the problem, summarizes previous work in the field, proposes a new solution, compares the solution with existing solutions, analyzes the results of simulation experiments and cites the relevant literature.</w:t>
            </w:r>
          </w:p>
          <w:p w:rsidR="00CF6F4A" w:rsidRPr="004D139F" w:rsidRDefault="00CF6F4A"/>
        </w:tc>
        <w:bookmarkStart w:id="0" w:name="_GoBack"/>
        <w:bookmarkEnd w:id="0"/>
      </w:tr>
      <w:tr w:rsidR="00CF6F4A" w:rsidRPr="00EB399C" w:rsidTr="00C77165">
        <w:tc>
          <w:tcPr>
            <w:tcW w:w="1521" w:type="dxa"/>
            <w:vAlign w:val="center"/>
          </w:tcPr>
          <w:p w:rsidR="00CF6F4A" w:rsidRPr="00EB399C" w:rsidRDefault="00CF6F4A" w:rsidP="00EB399C">
            <w:pPr>
              <w:jc w:val="right"/>
              <w:rPr>
                <w:b/>
                <w:sz w:val="20"/>
                <w:szCs w:val="20"/>
              </w:rPr>
            </w:pPr>
            <w:r w:rsidRPr="00EB399C">
              <w:rPr>
                <w:b/>
                <w:sz w:val="20"/>
                <w:szCs w:val="20"/>
              </w:rPr>
              <w:t>Class Attendance</w:t>
            </w:r>
          </w:p>
        </w:tc>
        <w:tc>
          <w:tcPr>
            <w:tcW w:w="7109" w:type="dxa"/>
            <w:vAlign w:val="center"/>
          </w:tcPr>
          <w:p w:rsidR="00CF6F4A" w:rsidRPr="004D139F" w:rsidRDefault="00C77165">
            <w:r>
              <w:t>As per the Department of Computer Science policy, t</w:t>
            </w:r>
            <w:r w:rsidRPr="00E6009F">
              <w:t>hree consecutive absences leads to one letter grade drop. Four consecutive absences leads to an F.</w:t>
            </w:r>
          </w:p>
        </w:tc>
      </w:tr>
      <w:tr w:rsidR="00CF6F4A" w:rsidRPr="00EB399C" w:rsidTr="00C77165">
        <w:tc>
          <w:tcPr>
            <w:tcW w:w="1521" w:type="dxa"/>
            <w:vAlign w:val="center"/>
          </w:tcPr>
          <w:p w:rsidR="00CF6F4A" w:rsidRPr="00EB399C" w:rsidRDefault="00CF6F4A" w:rsidP="00EB399C">
            <w:pPr>
              <w:jc w:val="right"/>
              <w:rPr>
                <w:b/>
                <w:sz w:val="20"/>
                <w:szCs w:val="20"/>
              </w:rPr>
            </w:pPr>
            <w:r w:rsidRPr="00EB399C">
              <w:rPr>
                <w:b/>
                <w:sz w:val="20"/>
                <w:szCs w:val="20"/>
              </w:rPr>
              <w:t>Classroom Citizenship</w:t>
            </w:r>
          </w:p>
        </w:tc>
        <w:tc>
          <w:tcPr>
            <w:tcW w:w="7109" w:type="dxa"/>
            <w:vAlign w:val="center"/>
          </w:tcPr>
          <w:p w:rsidR="00CF6F4A" w:rsidRPr="004D139F" w:rsidRDefault="00E17A66">
            <w:r w:rsidRPr="004D139F">
              <w:t>The instructor encourages students to take active part in class discussions. No question is too simple</w:t>
            </w:r>
            <w:r w:rsidR="0062361C" w:rsidRPr="004D139F">
              <w:t>/stupid</w:t>
            </w:r>
            <w:r w:rsidRPr="004D139F">
              <w:t xml:space="preserve"> to be asked. So, do not hesitate.</w:t>
            </w:r>
          </w:p>
        </w:tc>
      </w:tr>
      <w:tr w:rsidR="00C77165" w:rsidRPr="00EB399C" w:rsidTr="00C77165">
        <w:tc>
          <w:tcPr>
            <w:tcW w:w="1521" w:type="dxa"/>
            <w:vAlign w:val="center"/>
          </w:tcPr>
          <w:p w:rsidR="00C77165" w:rsidRPr="00D65420" w:rsidRDefault="00C77165" w:rsidP="00C77165">
            <w:pPr>
              <w:jc w:val="right"/>
              <w:rPr>
                <w:b/>
                <w:sz w:val="20"/>
                <w:szCs w:val="20"/>
              </w:rPr>
            </w:pPr>
            <w:r>
              <w:rPr>
                <w:b/>
                <w:sz w:val="20"/>
                <w:szCs w:val="20"/>
              </w:rPr>
              <w:t>Comet Creed</w:t>
            </w:r>
          </w:p>
        </w:tc>
        <w:tc>
          <w:tcPr>
            <w:tcW w:w="7109" w:type="dxa"/>
            <w:vAlign w:val="center"/>
          </w:tcPr>
          <w:p w:rsidR="00C77165" w:rsidRDefault="00C77165" w:rsidP="00C77165">
            <w:pPr>
              <w:ind w:left="53"/>
              <w:rPr>
                <w:rFonts w:cs="Times New Roman"/>
                <w:i/>
                <w:sz w:val="20"/>
                <w:szCs w:val="20"/>
              </w:rPr>
            </w:pPr>
            <w:r>
              <w:rPr>
                <w:rFonts w:cs="Times New Roman"/>
                <w:i/>
                <w:sz w:val="20"/>
                <w:szCs w:val="20"/>
              </w:rPr>
              <w:t>This creed was voted on by the UT Dallas student body in 2014. It is a standard that Comets choose to live by and encourage others to do the same:</w:t>
            </w:r>
          </w:p>
          <w:p w:rsidR="00C77165" w:rsidRDefault="00C77165" w:rsidP="00C77165">
            <w:pPr>
              <w:ind w:left="53"/>
              <w:rPr>
                <w:rFonts w:cs="Times New Roman"/>
                <w:i/>
                <w:sz w:val="20"/>
                <w:szCs w:val="20"/>
              </w:rPr>
            </w:pPr>
          </w:p>
          <w:p w:rsidR="00C77165" w:rsidRPr="00C77165" w:rsidRDefault="00C77165" w:rsidP="00C77165">
            <w:pPr>
              <w:ind w:left="53"/>
              <w:rPr>
                <w:rFonts w:cs="Times New Roman"/>
                <w:i/>
                <w:sz w:val="20"/>
                <w:szCs w:val="20"/>
              </w:rPr>
            </w:pPr>
            <w:r>
              <w:rPr>
                <w:rFonts w:cs="Times New Roman"/>
                <w:i/>
                <w:sz w:val="20"/>
                <w:szCs w:val="20"/>
              </w:rPr>
              <w:t>“As a Comet, I pledge honesty, integrity, and service in all that I do.”</w:t>
            </w:r>
          </w:p>
        </w:tc>
      </w:tr>
      <w:tr w:rsidR="00C77165" w:rsidRPr="00EB399C" w:rsidTr="00C77165">
        <w:tc>
          <w:tcPr>
            <w:tcW w:w="1521" w:type="dxa"/>
            <w:vAlign w:val="center"/>
          </w:tcPr>
          <w:p w:rsidR="00C77165" w:rsidRPr="00D65420" w:rsidRDefault="00C77165" w:rsidP="00C77165">
            <w:pPr>
              <w:jc w:val="right"/>
              <w:rPr>
                <w:b/>
                <w:sz w:val="20"/>
                <w:szCs w:val="20"/>
              </w:rPr>
            </w:pPr>
            <w:r>
              <w:rPr>
                <w:b/>
                <w:sz w:val="20"/>
                <w:szCs w:val="20"/>
              </w:rPr>
              <w:t>UT Dallas Syllabus Policies and Procedures</w:t>
            </w:r>
          </w:p>
        </w:tc>
        <w:tc>
          <w:tcPr>
            <w:tcW w:w="7109" w:type="dxa"/>
            <w:vAlign w:val="center"/>
          </w:tcPr>
          <w:p w:rsidR="00C77165" w:rsidRDefault="00C77165" w:rsidP="00C77165">
            <w:pPr>
              <w:ind w:left="53"/>
              <w:rPr>
                <w:rFonts w:cs="Times New Roman"/>
                <w:i/>
                <w:sz w:val="20"/>
                <w:szCs w:val="20"/>
              </w:rPr>
            </w:pPr>
            <w:r>
              <w:rPr>
                <w:rFonts w:cs="Times New Roman"/>
                <w:i/>
                <w:sz w:val="20"/>
                <w:szCs w:val="20"/>
              </w:rPr>
              <w:t xml:space="preserve">The information contained in the following link constitutes the University’s policies and procedures segment of the course syllabus. </w:t>
            </w:r>
          </w:p>
          <w:p w:rsidR="00C77165" w:rsidRDefault="00C77165" w:rsidP="00C77165">
            <w:pPr>
              <w:ind w:left="53"/>
              <w:rPr>
                <w:rFonts w:cs="Times New Roman"/>
                <w:i/>
                <w:sz w:val="20"/>
                <w:szCs w:val="20"/>
              </w:rPr>
            </w:pPr>
          </w:p>
          <w:p w:rsidR="00C77165" w:rsidRDefault="00C77165" w:rsidP="00C77165">
            <w:pPr>
              <w:ind w:left="53"/>
              <w:rPr>
                <w:rFonts w:cs="Times New Roman"/>
                <w:i/>
                <w:sz w:val="20"/>
                <w:szCs w:val="20"/>
              </w:rPr>
            </w:pPr>
            <w:r>
              <w:rPr>
                <w:rFonts w:cs="Times New Roman"/>
                <w:i/>
                <w:sz w:val="20"/>
                <w:szCs w:val="20"/>
              </w:rPr>
              <w:t xml:space="preserve">Please go to </w:t>
            </w:r>
            <w:hyperlink r:id="rId7" w:history="1">
              <w:r>
                <w:rPr>
                  <w:rStyle w:val="Hyperlink"/>
                  <w:rFonts w:cs="Times New Roman"/>
                  <w:i/>
                  <w:sz w:val="20"/>
                  <w:szCs w:val="20"/>
                </w:rPr>
                <w:t>http://go.utdallas.edu/syllabus-policies</w:t>
              </w:r>
            </w:hyperlink>
            <w:r>
              <w:rPr>
                <w:rFonts w:cs="Times New Roman"/>
                <w:i/>
                <w:sz w:val="20"/>
                <w:szCs w:val="20"/>
              </w:rPr>
              <w:t xml:space="preserve"> for these policies.</w:t>
            </w:r>
          </w:p>
          <w:p w:rsidR="00C77165" w:rsidRPr="00D65420" w:rsidRDefault="00C77165" w:rsidP="00C77165">
            <w:pPr>
              <w:rPr>
                <w:rFonts w:cs="Times New Roman"/>
                <w:sz w:val="20"/>
                <w:szCs w:val="20"/>
              </w:rPr>
            </w:pPr>
          </w:p>
        </w:tc>
      </w:tr>
    </w:tbl>
    <w:p w:rsidR="005864FC" w:rsidRPr="00B34732" w:rsidRDefault="005864FC">
      <w:pPr>
        <w:rPr>
          <w:rFonts w:cs="Times New Roman"/>
          <w:b/>
          <w:i/>
          <w:color w:val="000000"/>
        </w:rPr>
      </w:pPr>
      <w:r w:rsidRPr="000F3CB2">
        <w:rPr>
          <w:rFonts w:cs="Times New Roman"/>
          <w:b/>
          <w:i/>
          <w:color w:val="000000"/>
        </w:rPr>
        <w:t>These descriptions and timelines are subject to change at the discretion of the Professor.</w:t>
      </w:r>
    </w:p>
    <w:sectPr w:rsidR="005864FC" w:rsidRPr="00B347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023E2"/>
    <w:multiLevelType w:val="hybridMultilevel"/>
    <w:tmpl w:val="C032C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5C02C0"/>
    <w:multiLevelType w:val="hybridMultilevel"/>
    <w:tmpl w:val="4CEE9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84641D"/>
    <w:multiLevelType w:val="hybridMultilevel"/>
    <w:tmpl w:val="34BA13C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C4178E2"/>
    <w:multiLevelType w:val="hybridMultilevel"/>
    <w:tmpl w:val="A1BE8904"/>
    <w:lvl w:ilvl="0" w:tplc="A3BCE22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E1E42BF"/>
    <w:multiLevelType w:val="hybridMultilevel"/>
    <w:tmpl w:val="AD949A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E5"/>
    <w:rsid w:val="0001091E"/>
    <w:rsid w:val="000638A1"/>
    <w:rsid w:val="0007691C"/>
    <w:rsid w:val="00086CE2"/>
    <w:rsid w:val="00092D54"/>
    <w:rsid w:val="001B750E"/>
    <w:rsid w:val="003A4F50"/>
    <w:rsid w:val="003D4A6B"/>
    <w:rsid w:val="00475BE1"/>
    <w:rsid w:val="00475F5F"/>
    <w:rsid w:val="004D139F"/>
    <w:rsid w:val="004F69BF"/>
    <w:rsid w:val="00561B24"/>
    <w:rsid w:val="005864FC"/>
    <w:rsid w:val="005D26C2"/>
    <w:rsid w:val="0060030F"/>
    <w:rsid w:val="00606E56"/>
    <w:rsid w:val="0062361C"/>
    <w:rsid w:val="00694632"/>
    <w:rsid w:val="006B7686"/>
    <w:rsid w:val="006E66A2"/>
    <w:rsid w:val="00704C42"/>
    <w:rsid w:val="00731EC9"/>
    <w:rsid w:val="0079109F"/>
    <w:rsid w:val="007C322E"/>
    <w:rsid w:val="00896813"/>
    <w:rsid w:val="008A2AED"/>
    <w:rsid w:val="008D2F5D"/>
    <w:rsid w:val="0090598E"/>
    <w:rsid w:val="0093416D"/>
    <w:rsid w:val="009906CF"/>
    <w:rsid w:val="009F6EE3"/>
    <w:rsid w:val="00A0067E"/>
    <w:rsid w:val="00A66A85"/>
    <w:rsid w:val="00AF4F6B"/>
    <w:rsid w:val="00B22F09"/>
    <w:rsid w:val="00B34732"/>
    <w:rsid w:val="00BE2C87"/>
    <w:rsid w:val="00C722FC"/>
    <w:rsid w:val="00C77165"/>
    <w:rsid w:val="00CA2F96"/>
    <w:rsid w:val="00CF23C5"/>
    <w:rsid w:val="00CF3A08"/>
    <w:rsid w:val="00CF6F4A"/>
    <w:rsid w:val="00D02120"/>
    <w:rsid w:val="00D543E5"/>
    <w:rsid w:val="00E17A66"/>
    <w:rsid w:val="00E71597"/>
    <w:rsid w:val="00EB399C"/>
    <w:rsid w:val="00F857BA"/>
    <w:rsid w:val="00FC0722"/>
    <w:rsid w:val="00FE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766FE411-82AE-4D79-9057-09995D20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864FC"/>
    <w:pPr>
      <w:spacing w:before="100" w:beforeAutospacing="1" w:after="100" w:afterAutospacing="1"/>
      <w:jc w:val="both"/>
    </w:pPr>
    <w:rPr>
      <w:rFonts w:ascii="Verdana" w:hAnsi="Verdana" w:cs="Times New Roman"/>
      <w:sz w:val="18"/>
      <w:szCs w:val="18"/>
    </w:rPr>
  </w:style>
  <w:style w:type="character" w:styleId="Hyperlink">
    <w:name w:val="Hyperlink"/>
    <w:basedOn w:val="DefaultParagraphFont"/>
    <w:rsid w:val="00AF4F6B"/>
    <w:rPr>
      <w:color w:val="0000FF"/>
      <w:u w:val="single"/>
    </w:rPr>
  </w:style>
  <w:style w:type="paragraph" w:customStyle="1" w:styleId="bodytext">
    <w:name w:val="bodytext"/>
    <w:basedOn w:val="Normal"/>
    <w:rsid w:val="00CF23C5"/>
    <w:pPr>
      <w:spacing w:before="100" w:beforeAutospacing="1" w:after="100" w:afterAutospacing="1"/>
    </w:pPr>
    <w:rPr>
      <w:rFonts w:cs="Times New Roman"/>
      <w:sz w:val="24"/>
      <w:szCs w:val="24"/>
    </w:rPr>
  </w:style>
  <w:style w:type="paragraph" w:styleId="BalloonText">
    <w:name w:val="Balloon Text"/>
    <w:basedOn w:val="Normal"/>
    <w:link w:val="BalloonTextChar"/>
    <w:rsid w:val="0090598E"/>
    <w:rPr>
      <w:rFonts w:ascii="Tahoma" w:hAnsi="Tahoma"/>
      <w:sz w:val="16"/>
      <w:szCs w:val="16"/>
    </w:rPr>
  </w:style>
  <w:style w:type="character" w:customStyle="1" w:styleId="BalloonTextChar">
    <w:name w:val="Balloon Text Char"/>
    <w:basedOn w:val="DefaultParagraphFont"/>
    <w:link w:val="BalloonText"/>
    <w:rsid w:val="009059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84539">
      <w:bodyDiv w:val="1"/>
      <w:marLeft w:val="0"/>
      <w:marRight w:val="0"/>
      <w:marTop w:val="0"/>
      <w:marBottom w:val="0"/>
      <w:divBdr>
        <w:top w:val="none" w:sz="0" w:space="0" w:color="auto"/>
        <w:left w:val="none" w:sz="0" w:space="0" w:color="auto"/>
        <w:bottom w:val="none" w:sz="0" w:space="0" w:color="auto"/>
        <w:right w:val="none" w:sz="0" w:space="0" w:color="auto"/>
      </w:divBdr>
    </w:div>
    <w:div w:id="634986690">
      <w:bodyDiv w:val="1"/>
      <w:marLeft w:val="0"/>
      <w:marRight w:val="0"/>
      <w:marTop w:val="0"/>
      <w:marBottom w:val="0"/>
      <w:divBdr>
        <w:top w:val="none" w:sz="0" w:space="0" w:color="auto"/>
        <w:left w:val="none" w:sz="0" w:space="0" w:color="auto"/>
        <w:bottom w:val="none" w:sz="0" w:space="0" w:color="auto"/>
        <w:right w:val="none" w:sz="0" w:space="0" w:color="auto"/>
      </w:divBdr>
      <w:divsChild>
        <w:div w:id="1049493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75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o.utdallas.edu/syllabus-polic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BB7DA-520F-48E4-B266-C4D64F4E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4942</CharactersWithSpaces>
  <SharedDoc>false</SharedDoc>
  <HLinks>
    <vt:vector size="6" baseType="variant">
      <vt:variant>
        <vt:i4>4718686</vt:i4>
      </vt:variant>
      <vt:variant>
        <vt:i4>0</vt:i4>
      </vt:variant>
      <vt:variant>
        <vt:i4>0</vt:i4>
      </vt:variant>
      <vt:variant>
        <vt:i4>5</vt:i4>
      </vt:variant>
      <vt:variant>
        <vt:lpwstr>http://www.utdallas.edu/BusinessAffairs/Travel_Risk_Activities.htm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 Huckaba</dc:creator>
  <cp:lastModifiedBy>Prakash, Ravi</cp:lastModifiedBy>
  <cp:revision>3</cp:revision>
  <cp:lastPrinted>2006-08-17T18:07:00Z</cp:lastPrinted>
  <dcterms:created xsi:type="dcterms:W3CDTF">2017-01-06T17:05:00Z</dcterms:created>
  <dcterms:modified xsi:type="dcterms:W3CDTF">2017-01-06T17:09:00Z</dcterms:modified>
</cp:coreProperties>
</file>