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o="urn:schemas-microsoft-com:office:office" xmlns:w14="http://schemas.microsoft.com/office/word/2010/wordml" xmlns:mc="http://schemas.openxmlformats.org/markup-compatibility/2006" xmlns:dgm="http://schemas.openxmlformats.org/drawingml/2006/diagram" xmlns:dsp="http://schemas.microsoft.com/office/drawing/2008/diagram" xmlns:wps="http://schemas.microsoft.com/office/word/2010/wordprocessingShape" xmlns:wp14="http://schemas.microsoft.com/office/word/2010/wordprocessingDrawing" xmlns:wpg="http://schemas.microsoft.com/office/word/2010/wordprocessingGroup" xmlns:wpi="http://schemas.microsoft.com/office/word/2010/wordprocessingInk" xmlns:wne="http://schemas.microsoft.com/office/word/2006/wordml">
  <w:body>
    <w:p>
      <w:pPr>
        <w:pStyle w:val="Heading1"/>
        <w:outlineLvl w:val="0"/>
      </w:pPr>
      <w:r>
        <w:t xml:space="preserve">2026 年度经营复盘</w:t>
      </w:r>
    </w:p>
    <w:p>
      <w:r>
        <w:t xml:space="preserve">全年收入 928.3 万元，同比增长 12.4%；净利润 200.4 万元，净利率 21.6%。</w:t>
      </w:r>
    </w:p>
    <w:p>
      <w:pPr>
        <w:pStyle w:val="Heading2"/>
        <w:outlineLvl w:val="1"/>
      </w:pPr>
      <w:r>
        <w:t xml:space="preserve">关键动作</w:t>
      </w:r>
    </w:p>
    <w:p>
      <w:pPr>
        <w:numPr>
          <w:ilvl w:val="0"/>
          <w:numId w:val="1"/>
        </w:numPr>
      </w:pPr>
      <w:r>
        <w:t xml:space="preserve">拓展华东渠道</w:t>
      </w:r>
    </w:p>
    <w:p>
      <w:pPr>
        <w:numPr>
          <w:ilvl w:val="1"/>
          <w:numId w:val="1"/>
        </w:numPr>
      </w:pPr>
      <w:r>
        <w:t xml:space="preserve">新增 12 家经销商</w:t>
      </w:r>
    </w:p>
    <w:p>
      <w:pPr>
        <w:numPr>
          <w:ilvl w:val="0"/>
          <w:numId w:val="1"/>
        </w:numPr>
      </w:pPr>
      <w:r>
        <w:t xml:space="preserve">上线会员体系</w:t>
      </w:r>
    </w:p>
    <w:p>
      <w:pPr>
        <w:numPr>
          <w:ilvl w:val="0"/>
          <w:numId w:val="1"/>
        </w:numPr>
      </w:pPr>
      <w:r>
        <w:t xml:space="preserve">优化供应链周转</w:t>
      </w:r>
    </w:p>
    <w:p>
      <w:pPr>
        <w:pStyle w:val="Heading2"/>
        <w:outlineLvl w:val="1"/>
      </w:pPr>
      <w:r>
        <w:t xml:space="preserve">月度收入</w:t>
      </w:r>
    </w:p>
    <w:tbl>
      <w:tblPr>
        <w:tblStyle w:val="TableGrid"/>
        <w:tblW w:w="830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>
            <w:r>
              <w:t xml:space="preserve">月份</w:t>
            </w:r>
          </w:p>
        </w:tc>
        <w:tc>
          <w:p>
            <w:r>
              <w:t xml:space="preserve">收入（万元）</w:t>
            </w:r>
          </w:p>
        </w:tc>
        <w:tc>
          <w:p>
            <w:r>
              <w:t xml:space="preserve">环比</w:t>
            </w:r>
          </w:p>
        </w:tc>
      </w:tr>
      <w:tr>
        <w:tc>
          <w:p>
            <w:r>
              <w:t xml:space="preserve">1 月</w:t>
            </w:r>
          </w:p>
        </w:tc>
        <w:tc>
          <w:p>
            <w:r>
              <w:t xml:space="preserve">128.0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2 月</w:t>
            </w:r>
          </w:p>
        </w:tc>
        <w:tc>
          <w:p>
            <w:r>
              <w:t xml:space="preserve">143.5</w:t>
            </w:r>
          </w:p>
        </w:tc>
        <w:tc>
          <w:p>
            <w:r>
              <w:t xml:space="preserve">+12.1%</w:t>
            </w:r>
          </w:p>
        </w:tc>
      </w:tr>
      <w:tr>
        <w:tc>
          <w:p>
            <w:r>
              <w:t xml:space="preserve">3 月</w:t>
            </w:r>
          </w:p>
        </w:tc>
        <w:tc>
          <w:p>
            <w:r>
              <w:t xml:space="preserve">131.2</w:t>
            </w:r>
          </w:p>
        </w:tc>
        <w:tc>
          <w:p>
            <w:r>
              <w:t xml:space="preserve">-8.6%</w:t>
            </w:r>
          </w:p>
        </w:tc>
      </w:tr>
      <w:tr>
        <w:tc>
          <w:p>
            <w:r>
              <w:t xml:space="preserve">4 月</w:t>
            </w:r>
          </w:p>
        </w:tc>
        <w:tc>
          <w:p>
            <w:r>
              <w:t xml:space="preserve">168.7</w:t>
            </w:r>
          </w:p>
        </w:tc>
        <w:tc>
          <w:p>
            <w:r>
              <w:t xml:space="preserve">+28.6%</w:t>
            </w:r>
          </w:p>
        </w:tc>
      </w:tr>
      <w:tr>
        <w:tc>
          <w:p>
            <w:r>
              <w:t xml:space="preserve">5 月</w:t>
            </w:r>
          </w:p>
        </w:tc>
        <w:tc>
          <w:p>
            <w:r>
              <w:t xml:space="preserve">182.4</w:t>
            </w:r>
          </w:p>
        </w:tc>
        <w:tc>
          <w:p>
            <w:r>
              <w:t xml:space="preserve">+8.1%</w:t>
            </w:r>
          </w:p>
        </w:tc>
      </w:tr>
      <w:tr>
        <w:tc>
          <w:p>
            <w:r>
              <w:t xml:space="preserve">6 月</w:t>
            </w:r>
          </w:p>
        </w:tc>
        <w:tc>
          <w:p>
            <w:r>
              <w:t xml:space="preserve">174.5</w:t>
            </w:r>
          </w:p>
        </w:tc>
        <w:tc>
          <w:p>
            <w:r>
              <w:t xml:space="preserve">-4.3%</w:t>
            </w:r>
          </w:p>
        </w:tc>
      </w:tr>
    </w:tbl>
    <w:p>
      <w:pPr>
        <w:pStyle w:val="Caption"/>
      </w:pPr>
      <w:r>
        <w:t xml:space="preserve">表 1  月度收入与环比</w:t>
      </w:r>
    </w:p>
    <w:p>
      <w:pPr>
        <w:jc w:val="center"/>
      </w:pPr>
      <w:r>
        <w:drawing>
          <wp:inline distT="0" distB="0" distL="0" distR="0">
            <wp:extent cx="4572000" cy="2540000"/>
            <wp:effectExtent l="0" t="0" r="0" b="0"/>
            <wp:docPr id="1" name="Chart 1" descr="图 1  月度收入趋势（万元）"/>
            <wp:cNvGraphicFramePr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m:oMathPara>
      <m:oMath>
        <m:r>
          <m:t xml:space="preserve">净利率</m:t>
        </m:r>
        <m:r>
          <m:t>=</m:t>
        </m:r>
        <m:f>
          <m:num>
            <m:r>
              <m:t xml:space="preserve">净利润</m:t>
            </m:r>
          </m:num>
          <m:den>
            <m:r>
              <m:t xml:space="preserve">收入</m:t>
            </m:r>
          </m:den>
        </m:f>
        <m:r>
          <m:t>=</m:t>
        </m:r>
        <m:r>
          <m:t>21.6</m:t>
        </m:r>
        <m:r>
          <m:t>%</m:t>
        </m:r>
      </m:oMath>
    </m:oMathPara>
    <w:p>
      <w:pPr>
        <w:pStyle w:val="Quote"/>
      </w:pPr>
      <w:r>
        <w:t xml:space="preserve">上半年增速主要来自华东渠道；下半年重点是复购率与毛利结构。</w:t>
      </w:r>
    </w:p>
    <w:p>
      <w:pPr>
        <w:pStyle w:val="Heading2"/>
        <w:outlineLvl w:val="1"/>
      </w:pPr>
      <w:r>
        <w:t xml:space="preserve">结论</w:t>
      </w:r>
    </w:p>
    <w:p>
      <w:r>
        <w:t xml:space="preserve">渠道扩张有效，但 3 月与 6 月出现环比回落，需要在 Q3 复核定价与库存策略。</w:t>
      </w:r>
    </w:p>
    <w:sectPr>
      <w:pgSz w:w="11906" w:h="16838" w:orient="portrait"/>
      <w:pgMar w:top="1440" w:right="1800" w:bottom="1440" w:left="1800" w:header="840" w:footer="840" w:gutter="0"/>
    </w:sectPr>
  </w:body>
</w:document>
</file>

<file path=word/fontTable.xml><?xml version="1.0" encoding="utf-8"?>
<w:fonts xmlns:w="http://schemas.openxmlformats.org/wordprocessingml/2006/main">
  <w:font w:name="Calibri">
    <w:charset w:val="00"/>
    <w:family w:val="auto"/>
    <w:pitch w:val="variable"/>
  </w:font>
  <w:font w:name="Calibri Light">
    <w:charset w:val="00"/>
    <w:family w:val="auto"/>
    <w:pitch w:val="variable"/>
  </w:font>
  <w:font w:name="Consolas">
    <w:charset w:val="00"/>
    <w:family w:val="auto"/>
    <w:pitch w:val="variable"/>
  </w:font>
  <w:font w:name="宋体">
    <w:charset w:val="00"/>
    <w:family w:val="auto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•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•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•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•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160" w:hanging="360"/>
      </w:pPr>
    </w:lvl>
    <w:lvl w:ilvl="5">
      <w:start w:val="1"/>
      <w:numFmt w:val="lowerRoman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wp="http://schemas.openxmlformats.org/drawingml/2006/wordprocessingDrawing" xmlns:wps="http://schemas.microsoft.com/office/word/2010/wordprocessingShape">
  <w:docDefaults>
    <w:rPrDefault>
      <w:rPr>
        <w:rFonts w:ascii="Calibri" w:hAnsi="Calibri" w:eastAsia="宋体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</w:pPr>
    <w:rPr>
      <w:b/>
      <w:bCs/>
      <w:sz w:val="44"/>
      <w:szCs w:val="44"/>
    </w:rPr>
  </w:style>
  <w:style w:type="paragraph" w:styleId="Subtitle">
    <w:name w:val="Subtitle"/>
    <w:basedOn w:val="Normal"/>
    <w:next w:val="Normal"/>
    <w:qFormat/>
    <w:pPr>
      <w:jc w:val="center"/>
    </w:pPr>
    <w:rPr>
      <w:sz w:val="28"/>
      <w:szCs w:val="28"/>
    </w:rPr>
  </w:style>
  <w:style w:type="paragraph" w:styleId="TOCHeading">
    <w:name w:val="TOC Heading"/>
    <w:basedOn w:val="Normal"/>
    <w:next w:val="Normal"/>
    <w:qFormat/>
    <w:pPr>
      <w:jc w:val="left"/>
    </w:pPr>
    <w:rPr>
      <w:b/>
      <w:bCs/>
      <w:sz w:val="32"/>
      <w:szCs w:val="32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20"/>
      <w:szCs w:val="20"/>
    </w:rPr>
  </w:style>
  <w:style w:type="paragraph" w:styleId="Quote">
    <w:name w:val="Quote"/>
    <w:basedOn w:val="Normal"/>
    <w:next w:val="Normal"/>
    <w:qFormat/>
    <w:pPr>
      <w:jc w:val="left"/>
    </w:pPr>
    <w:rPr>
      <w:i/>
      <w:iCs/>
    </w:rPr>
  </w:style>
  <w:style w:type="paragraph" w:styleId="Code">
    <w:name w:val="Code"/>
    <w:basedOn w:val="Normal"/>
    <w:next w:val="Normal"/>
    <w:qFormat/>
    <w:rPr>
      <w:rFonts w:ascii="Consolas" w:hAnsi="Consolas" w:eastAsia="Consolas" w:cs="Consolas"/>
      <w:sz w:val="20"/>
      <w:szCs w:val="20"/>
    </w:rPr>
  </w:style>
  <w:style w:type="paragraph" w:styleId="Reference">
    <w:name w:val="Reference"/>
    <w:basedOn w:val="Normal"/>
    <w:next w:val="Normal"/>
    <w:qFormat/>
  </w:style>
  <w:style w:type="paragraph" w:styleId="TOC1">
    <w:name w:val="toc 1"/>
    <w:basedOn w:val="Normal"/>
    <w:qFormat/>
    <w:pPr>
      <w:ind w:left="0"/>
      <w:tabs>
        <w:tab w:val="right" w:leader="dot" w:pos="8000"/>
      </w:tabs>
    </w:pPr>
  </w:style>
  <w:style w:type="paragraph" w:styleId="TOC2">
    <w:name w:val="toc 2"/>
    <w:basedOn w:val="Normal"/>
    <w:qFormat/>
    <w:pPr>
      <w:ind w:left="240"/>
      <w:tabs>
        <w:tab w:val="right" w:leader="dot" w:pos="8000"/>
      </w:tabs>
    </w:pPr>
  </w:style>
  <w:style w:type="paragraph" w:styleId="TOC3">
    <w:name w:val="toc 3"/>
    <w:basedOn w:val="Normal"/>
    <w:qFormat/>
    <w:pPr>
      <w:ind w:left="480"/>
      <w:tabs>
        <w:tab w:val="right" w:leader="dot" w:pos="8000"/>
      </w:tabs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 Light" w:hAnsi="Calibri Light" w:eastAsia="Calibri Light" w:cs="Calibri Light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 Light" w:hAnsi="Calibri Light" w:eastAsia="Calibri Light" w:cs="Calibri Light"/>
      <w:b/>
      <w:bCs/>
      <w:color w:val="1F3864"/>
      <w:sz w:val="33"/>
      <w:szCs w:val="33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 Light" w:hAnsi="Calibri Light" w:eastAsia="Calibri Light" w:cs="Calibri Light"/>
      <w:b/>
      <w:bCs/>
      <w:color w:val="1F3864"/>
      <w:sz w:val="30"/>
      <w:szCs w:val="3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alibri Light" w:hAnsi="Calibri Light" w:eastAsia="Calibri Light" w:cs="Calibri Light"/>
      <w:b/>
      <w:bCs/>
      <w:color w:val="1F3864"/>
      <w:sz w:val="27"/>
      <w:szCs w:val="27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alibri Light" w:hAnsi="Calibri Light" w:eastAsia="Calibri Light" w:cs="Calibri Light"/>
      <w:b/>
      <w:bCs/>
      <w:color w:val="1F3864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Calibri Light" w:hAnsi="Calibri Light" w:eastAsia="Calibri Light" w:cs="Calibri Light"/>
      <w:b/>
      <w:bCs/>
      <w:color w:val="1F3864"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Calibri Light" w:hAnsi="Calibri Light" w:eastAsia="Calibri Light" w:cs="Calibri Light"/>
      <w:b/>
      <w:bCs/>
      <w:color w:val="1F3864"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Calibri Light" w:hAnsi="Calibri Light" w:eastAsia="Calibri Light" w:cs="Calibri Light"/>
      <w:b/>
      <w:bCs/>
      <w:color w:val="1F3864"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alibri Light" w:hAnsi="Calibri Light" w:eastAsia="Calibri Light" w:cs="Calibri Light"/>
      <w:b/>
      <w:bCs/>
      <w:color w:val="1F3864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character" w:styleId="CodeChar">
    <w:name w:val="Code Char"/>
    <w:rPr>
      <w:rFonts w:ascii="Consolas" w:hAnsi="Consolas" w:cs="Consolas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  <w:style w:type="character" w:styleId="CommentReference">
    <w:name w:val="comment reference"/>
    <w:rPr>
      <w:sz w:val="16"/>
    </w:rPr>
  </w:style>
  <w:style w:type="paragraph" w:styleId="CommentText">
    <w:name w:val="comment text"/>
    <w:basedOn w:val="Normal"/>
    <w:rPr>
      <w:sz w:val="18"/>
      <w:szCs w:val="18"/>
    </w:rPr>
  </w:style>
  <w:style w:type="character" w:styleId="InsertedText">
    <w:name w:val="Inserted Text"/>
    <w:rPr>
      <w:color w:val="C00000"/>
    </w:rPr>
  </w:style>
  <w:style w:type="character" w:styleId="DeletedText">
    <w:name w:val="Deleted Text"/>
    <w:rPr>
      <w:strike/>
      <w:color w:val="C00000"/>
    </w:rPr>
  </w:style>
  <w:style w:type="table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webSettings" Target="webSettings.xml"/><Relationship Id="rId7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图 1  月度收入趋势（万元）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marker>
            <c:symbol val="none"/>
          </c:marker>
          <c:idx val="0"/>
          <c:order val="0"/>
          <c:tx>
            <c:v>收入</c:v>
          </c:tx>
          <c:spPr/>
          <c:cat>
            <c:strLit>
              <c:ptCount val="6"/>
              <c:pt idx="0">
                <c:v>1 月</c:v>
              </c:pt>
              <c:pt idx="1">
                <c:v>2 月</c:v>
              </c:pt>
              <c:pt idx="2">
                <c:v>3 月</c:v>
              </c:pt>
              <c:pt idx="3">
                <c:v>4 月</c:v>
              </c:pt>
              <c:pt idx="4">
                <c:v>5 月</c:v>
              </c:pt>
              <c:pt idx="5">
                <c:v>6 月</c:v>
              </c:pt>
            </c:strLit>
          </c:cat>
          <c:val>
            <c:numLit>
              <c:ptCount val="6"/>
              <c:pt idx="0">
                <c:v>128</c:v>
              </c:pt>
              <c:pt idx="1">
                <c:v>143.5</c:v>
              </c:pt>
              <c:pt idx="2">
                <c:v>131.2</c:v>
              </c:pt>
              <c:pt idx="3">
                <c:v>168.7</c:v>
              </c:pt>
              <c:pt idx="4">
                <c:v>182.4</c:v>
              </c:pt>
              <c:pt idx="5">
                <c:v>174.5</c:v>
              </c:pt>
            </c:numLit>
          </c:val>
        </c:ser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tickLblPos val="nextTo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crossAx val="111111111"/>
        <c:tickLblPos val="nextTo"/>
        <c:crosses val="autoZero"/>
        <c:crossBetween val="between"/>
        <c:majorTickMark val="none"/>
      </c:valAx>
    </c:plotArea>
    <c:legend>
      <c:legendPos val="b"/>
      <c:overlay val="0"/>
    </c:legend>
    <c:plotVisOnly val="1"/>
  </c:chart>
</c:chartSpac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json2docx</Application>
  <AppVersion>0.1</AppVersion>
  <Words>229</Words>
  <Characters>345</Character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2026 年度经营复盘</dc:title>
  <dc:creator>经营分析组</dc:creator>
  <cp:lastModifiedBy>经营分析组</cp:lastModifiedBy>
  <dc:subject/>
  <cp:keywords/>
  <dcterms:created xsi:type="dcterms:W3CDTF">2026-01-01T00:00:00Z</dcterms:created>
  <dcterms:modified xsi:type="dcterms:W3CDTF">2026-01-01T00:00:00Z</dcterms:modified>
</cp:coreProperties>
</file>