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安全自评报告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安全自评报告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作品：银枢·AI银行副驾（YinShu AI Banking Copilot）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自评范围：本作品</w:t>
      </w:r>
      <w:r>
        <w:rPr>
          <w:rFonts w:ascii="微软雅黑" w:hAnsi="微软雅黑" w:eastAsia="微软雅黑"/>
          <w:b/>
          <w:color w:val="667085"/>
          <w:sz w:val="19"/>
        </w:rPr>
        <w:t>本地沙箱版本</w:t>
      </w:r>
      <w:r>
        <w:rPr>
          <w:rFonts w:ascii="微软雅黑" w:hAnsi="微软雅黑" w:eastAsia="微软雅黑"/>
          <w:b w:val="0"/>
          <w:color w:val="667085"/>
          <w:sz w:val="19"/>
        </w:rPr>
        <w:t>的全部代码与文档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自评日期：2026-09-22　自评方式：代码走查 + 自动化断言 + 攻击面实测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结论摘要：</w:t>
      </w:r>
      <w:r>
        <w:rPr>
          <w:rFonts w:ascii="微软雅黑" w:hAnsi="微软雅黑" w:eastAsia="微软雅黑"/>
          <w:b/>
          <w:color w:val="667085"/>
          <w:sz w:val="19"/>
        </w:rPr>
        <w:t>核心资金链路的权限分级、风控前置、二次确认与全程留痕均已实现并通过验证；已知残余风险主要来自"沙箱演示形态"与"尚未接入行内基础设施"两类，共 12 项，均给出加固建议。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一、自评依据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代码走查：</w:t>
      </w:r>
      <w:r>
        <w:rPr>
          <w:rFonts w:ascii="Consolas" w:hAnsi="Consolas" w:eastAsia="微软雅黑"/>
          <w:b w:val="0"/>
          <w:color w:val="B42318"/>
          <w:sz w:val="20"/>
        </w:rPr>
        <w:t>server/</w:t>
      </w:r>
      <w:r>
        <w:rPr>
          <w:rFonts w:ascii="微软雅黑" w:hAnsi="微软雅黑" w:eastAsia="微软雅黑"/>
          <w:b w:val="0"/>
          <w:sz w:val="21"/>
        </w:rPr>
        <w:t xml:space="preserve">（11 个模块）+ </w:t>
      </w:r>
      <w:r>
        <w:rPr>
          <w:rFonts w:ascii="Consolas" w:hAnsi="Consolas" w:eastAsia="微软雅黑"/>
          <w:b w:val="0"/>
          <w:color w:val="B42318"/>
          <w:sz w:val="20"/>
        </w:rPr>
        <w:t>public/</w:t>
      </w:r>
      <w:r>
        <w:rPr>
          <w:rFonts w:ascii="微软雅黑" w:hAnsi="微软雅黑" w:eastAsia="微软雅黑"/>
          <w:b w:val="0"/>
          <w:sz w:val="21"/>
        </w:rPr>
        <w:t>（3 个前端文件）。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自动化断言：</w:t>
      </w:r>
      <w:r>
        <w:rPr>
          <w:rFonts w:ascii="Consolas" w:hAnsi="Consolas" w:eastAsia="微软雅黑"/>
          <w:b w:val="0"/>
          <w:color w:val="B42318"/>
          <w:sz w:val="20"/>
        </w:rPr>
        <w:t>npm run selftest</w:t>
      </w:r>
      <w:r>
        <w:rPr>
          <w:rFonts w:ascii="微软雅黑" w:hAnsi="微软雅黑" w:eastAsia="微软雅黑"/>
          <w:b w:val="0"/>
          <w:sz w:val="21"/>
        </w:rPr>
        <w:t xml:space="preserve"> 336 项、</w:t>
      </w:r>
      <w:r>
        <w:rPr>
          <w:rFonts w:ascii="Consolas" w:hAnsi="Consolas" w:eastAsia="微软雅黑"/>
          <w:b w:val="0"/>
          <w:color w:val="B42318"/>
          <w:sz w:val="20"/>
        </w:rPr>
        <w:t>npm run verify</w:t>
      </w:r>
      <w:r>
        <w:rPr>
          <w:rFonts w:ascii="微软雅黑" w:hAnsi="微软雅黑" w:eastAsia="微软雅黑"/>
          <w:b w:val="0"/>
          <w:sz w:val="21"/>
        </w:rPr>
        <w:t xml:space="preserve"> 20 项、</w:t>
      </w:r>
      <w:r>
        <w:rPr>
          <w:rFonts w:ascii="Consolas" w:hAnsi="Consolas" w:eastAsia="微软雅黑"/>
          <w:b w:val="0"/>
          <w:color w:val="B42318"/>
          <w:sz w:val="20"/>
        </w:rPr>
        <w:t>npm run rehearsal</w:t>
      </w:r>
      <w:r>
        <w:rPr>
          <w:rFonts w:ascii="微软雅黑" w:hAnsi="微软雅黑" w:eastAsia="微软雅黑"/>
          <w:b w:val="0"/>
          <w:sz w:val="21"/>
        </w:rPr>
        <w:t xml:space="preserve"> 25 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攻击面实测：静态目录穿越 6 种变体、API 异常输入 8 例、信息泄露检查 5 项、监听面检查。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二、权限分级实现说明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2.1 设计口径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按"操作对资金与账户状态的影响程度"分四档：</w:t>
      </w:r>
      <w:r>
        <w:rPr>
          <w:rFonts w:ascii="微软雅黑" w:hAnsi="微软雅黑" w:eastAsia="微软雅黑"/>
          <w:b/>
          <w:sz w:val="21"/>
        </w:rPr>
        <w:t>直接执行 / 点击确认 / 验证码确认 / 阻断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实现要点：</w:t>
      </w:r>
      <w:r>
        <w:rPr>
          <w:rFonts w:ascii="微软雅黑" w:hAnsi="微软雅黑" w:eastAsia="微软雅黑"/>
          <w:b/>
          <w:sz w:val="21"/>
        </w:rPr>
        <w:t>判定不通过时不生成确认入口</w:t>
      </w:r>
      <w:r>
        <w:rPr>
          <w:rFonts w:ascii="微软雅黑" w:hAnsi="微软雅黑" w:eastAsia="微软雅黑"/>
          <w:b w:val="0"/>
          <w:sz w:val="21"/>
        </w:rPr>
        <w:t>——用户没有机会"确认一个本来就不该发生的操作"。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2.2 对象—操作—权限矩阵（赛题三级口径：绿/黄/红）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对象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授权要求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账户只读信息（余额、卡面、明细、账单、订阅、持仓、增益查询、风控预检）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🟢 绿色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自动执行（写审计）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tools.js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查询类工具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当日累计 ≤ ¥1,000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（赛题口径）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展示关键信息 + 点击确认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securityGuard.classifyTier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actions.js#transfer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当日累计 &gt; ¥1,000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展示关键信息 + </w:t>
            </w:r>
            <w:r>
              <w:rPr>
                <w:rFonts w:ascii="微软雅黑" w:hAnsi="微软雅黑" w:eastAsia="微软雅黑"/>
                <w:b/>
                <w:sz w:val="19"/>
              </w:rPr>
              <w:t>短信验证码 + 人脸识别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同上（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requiredFactors=['sms','face']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取消自动续费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点击确认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actions.js#subscription_cancel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虚拟卡申请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点击确认（即时发卡）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actions.js#virtual_card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交易限额 / 冻结与解冻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点击确认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actions.js#card_limit / card_lock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实体卡申请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黄色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点击确认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actions.js#card_apply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挂失 / 解挂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多因子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actions.js#card_loss / card_unfreeze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交易密码修改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多因子 + 卡片内设置新密码（不存明文）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actions.js#password_change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额度调整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多因子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actions.js#limit_adjust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理财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申购 / 赎回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🔴 红色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多因子 + 适当性强制校验 + 风险揭示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actions.js#product_purchase / product_redeem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跨场景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生日/节日预订（锁定资金 + 下单）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🟡/🔴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预算 ≤¥1,000 黄色；&gt;¥1,000 红色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actions.js#gift_booking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命中涉诈黑名单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⛔ 阻断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不提供确认入口，直接拦截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riskEngine.js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R-02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业务拒绝（收款人不存在/余额不足/超限额）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⛔ 拒绝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拒绝 + 写审计，未发生资金变动</w:t>
            </w:r>
          </w:p>
        </w:tc>
        <w:tc>
          <w:tcPr>
            <w:tcW w:type="dxa" w:w="1904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riskEngine.js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R-06/07/08/09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分级判定统一入口：</w:t>
      </w:r>
      <w:r>
        <w:rPr>
          <w:rFonts w:ascii="Consolas" w:hAnsi="Consolas" w:eastAsia="微软雅黑"/>
          <w:b w:val="0"/>
          <w:color w:val="667085"/>
          <w:sz w:val="18"/>
        </w:rPr>
        <w:t>securityGuard.classifyTier(toolName, args, { todayOut })</w:t>
      </w:r>
      <w:r>
        <w:rPr>
          <w:rFonts w:ascii="微软雅黑" w:hAnsi="微软雅黑" w:eastAsia="微软雅黑"/>
          <w:b w:val="0"/>
          <w:color w:val="667085"/>
          <w:sz w:val="19"/>
        </w:rPr>
        <w:t>；转账按</w:t>
      </w:r>
      <w:r>
        <w:rPr>
          <w:rFonts w:ascii="微软雅黑" w:hAnsi="微软雅黑" w:eastAsia="微软雅黑"/>
          <w:b/>
          <w:color w:val="667085"/>
          <w:sz w:val="19"/>
        </w:rPr>
        <w:t>当日累计</w:t>
      </w:r>
      <w:r>
        <w:rPr>
          <w:rFonts w:ascii="微软雅黑" w:hAnsi="微软雅黑" w:eastAsia="微软雅黑"/>
          <w:b w:val="0"/>
          <w:color w:val="667085"/>
          <w:sz w:val="19"/>
        </w:rPr>
        <w:t>（今日已完成转账之和 + 本笔）判定，而非单笔金额。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2.3 红色操作的多因子实现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因子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短信验证码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位、2 分钟有效、错误 3 次锁定该票据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错误码/重放/锁定均有断言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人脸识别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沙箱模拟（卡片内点“模拟人脸识别”），标记为“已通过（沙箱模拟）”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只给验证码、未过人脸时</w:t>
            </w:r>
            <w:r>
              <w:rPr>
                <w:rFonts w:ascii="微软雅黑" w:hAnsi="微软雅黑" w:eastAsia="微软雅黑"/>
                <w:b/>
                <w:sz w:val="19"/>
              </w:rPr>
              <w:t>拒绝执行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（有断言）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密码类因子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密码修改需在卡片内设置新 6 位密码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不保存明文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（状态文件中检索不到，有断言）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界面上：红色卡片头部为红色标识，展示“分级依据”（如“当日累计转账 ¥2,000 超过 ¥1,000”）；两个因子未同时完成时，“确认执行”按钮保持禁用。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另外：</w:t>
      </w:r>
      <w:r>
        <w:rPr>
          <w:rFonts w:ascii="微软雅黑" w:hAnsi="微软雅黑" w:eastAsia="微软雅黑"/>
          <w:b/>
          <w:sz w:val="21"/>
        </w:rPr>
        <w:t>红色操作不允许在对话里用“确认”代替</w:t>
      </w:r>
      <w:r>
        <w:rPr>
          <w:rFonts w:ascii="微软雅黑" w:hAnsi="微软雅黑" w:eastAsia="微软雅黑"/>
          <w:b w:val="0"/>
          <w:sz w:val="21"/>
        </w:rPr>
        <w:t>——直接回复“确认”会被引导到卡片完成现场因子（有断言）。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2.3 权限判定路径（统一入口）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用户输入 → 编排器（意图识别 + 任务规划）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→ 工具层（每个工具声明 risk / requiresConfirm）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→ 门禁层（riskEngine 10 条规则 + 适当性）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├─ block / reject  → 直接拒绝，写审计，不生成确认单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└─ confirm / allow → 生成待确认单（pendingActions）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→ 用户在界面或对话中确认（金额达阈值需验证码）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→ 动作层 executeAction()：执行前二次校验 → 变更资金 → 写台账与审计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关键约束</w:t>
      </w:r>
      <w:r>
        <w:rPr>
          <w:rFonts w:ascii="微软雅黑" w:hAnsi="微软雅黑" w:eastAsia="微软雅黑"/>
          <w:b w:val="0"/>
          <w:sz w:val="21"/>
        </w:rPr>
        <w:t xml:space="preserve">：资金变动只可能发生在 </w:t>
      </w:r>
      <w:r>
        <w:rPr>
          <w:rFonts w:ascii="Consolas" w:hAnsi="Consolas" w:eastAsia="微软雅黑"/>
          <w:b w:val="0"/>
          <w:color w:val="B42318"/>
          <w:sz w:val="20"/>
        </w:rPr>
        <w:t>actions.js</w:t>
      </w:r>
      <w:r>
        <w:rPr>
          <w:rFonts w:ascii="微软雅黑" w:hAnsi="微软雅黑" w:eastAsia="微软雅黑"/>
          <w:b w:val="0"/>
          <w:sz w:val="21"/>
        </w:rPr>
        <w:t xml:space="preserve"> 的执行器内；意图层与工具层均无写资金的能力。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2.5 实现验证（可复现）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断言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查询类 → 绿色自动执行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日累计 ≤¥1,000 → 黄色（点击确认）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日累计口径</w:t>
            </w:r>
            <w:r>
              <w:rPr>
                <w:rFonts w:ascii="微软雅黑" w:hAnsi="微软雅黑" w:eastAsia="微软雅黑"/>
                <w:b w:val="0"/>
                <w:sz w:val="19"/>
              </w:rPr>
              <w:t>：今日已转 600 + 本笔 800 → 红色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红色需“短信 + 人脸”双因子（只给验证码 → 拒绝）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红色操作在对话里无法用“确认”代替（引导到卡片）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生成待确认单时余额不变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取消确认后余额不变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已执行票据拒绝重复提交（防重放）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涉诈黑名单命中不生成确认入口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保守型用户申购 R2 产品被拦截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挂失卡不能自助解冻；解挂需红色多因子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密码修改不保存明文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虚拟卡即时开通（黄色）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多张待确认单时反问确认哪一张、且不扣款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六类操作结果全部入库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通过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三、安全机制实现状态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机制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证据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三级权限分级（绿/黄/红 + 日累计阈值）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项断言；安全中心可见阈值与因子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风控规则引擎（10 条）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 项断言；规则目录一致性校验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适当性管理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 项断言；测评过期/缺失拦截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全程留痕（六类 + 决策链路）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每条记录含规划与工具调用链；重启不重号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注入防御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类特征识别；告警 + 审计；不提供绕过路径（4 项断言）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异常熔断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分钟窗口 3 次失败/可疑 → 锁定 5 分钟，红色操作全面拦阻（4 项断言）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任务 DAG 拆解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子任务带 id 与依赖，拓扑波次执行，界面展示依赖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沙箱（无动态代码执行）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运行时不使用 eval/Function/child_process；能力来自工具白名单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知情同意（可解释）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每步可展开"为什么"；规则命中给证据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输入防护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类型/长度/体量/控制字符四重校验（8 例实测）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目录穿越防护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种变体实测 404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数据脱敏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项泄露检查通过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密钥隔离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前端全仓零密钥；仅后端 </w:t>
            </w:r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.env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网络暴露面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仅监听 127.0.0.1，局域网不可达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幂等/防重放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票据状态机 + 状态校验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容错降级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大模型不可用自动降级；断连提示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四、已知风险清单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分级口径：</w:t>
      </w:r>
      <w:r>
        <w:rPr>
          <w:rFonts w:ascii="微软雅黑" w:hAnsi="微软雅黑" w:eastAsia="微软雅黑"/>
          <w:b/>
          <w:color w:val="667085"/>
          <w:sz w:val="19"/>
        </w:rPr>
        <w:t>高</w:t>
      </w:r>
      <w:r>
        <w:rPr>
          <w:rFonts w:ascii="微软雅黑" w:hAnsi="微软雅黑" w:eastAsia="微软雅黑"/>
          <w:b w:val="0"/>
          <w:color w:val="667085"/>
          <w:sz w:val="19"/>
        </w:rPr>
        <w:t xml:space="preserve"> = 可能导致资金损失或数据泄露，生产环境必须解决；</w:t>
      </w:r>
      <w:r>
        <w:rPr>
          <w:rFonts w:ascii="微软雅黑" w:hAnsi="微软雅黑" w:eastAsia="微软雅黑"/>
          <w:b/>
          <w:color w:val="667085"/>
          <w:sz w:val="19"/>
        </w:rPr>
        <w:t>中</w:t>
      </w:r>
      <w:r>
        <w:rPr>
          <w:rFonts w:ascii="微软雅黑" w:hAnsi="微软雅黑" w:eastAsia="微软雅黑"/>
          <w:b w:val="0"/>
          <w:color w:val="667085"/>
          <w:sz w:val="19"/>
        </w:rPr>
        <w:t xml:space="preserve"> = 影响合规性、可审计性或稳定性，上线前应解决；</w:t>
      </w:r>
      <w:r>
        <w:rPr>
          <w:rFonts w:ascii="微软雅黑" w:hAnsi="微软雅黑" w:eastAsia="微软雅黑"/>
          <w:b/>
          <w:color w:val="667085"/>
          <w:sz w:val="19"/>
        </w:rPr>
        <w:t>低</w:t>
      </w:r>
      <w:r>
        <w:rPr>
          <w:rFonts w:ascii="微软雅黑" w:hAnsi="微软雅黑" w:eastAsia="微软雅黑"/>
          <w:b w:val="0"/>
          <w:color w:val="667085"/>
          <w:sz w:val="19"/>
        </w:rPr>
        <w:t xml:space="preserve"> = 建议优化项。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"残余风险"指在</w:t>
      </w:r>
      <w:r>
        <w:rPr>
          <w:rFonts w:ascii="微软雅黑" w:hAnsi="微软雅黑" w:eastAsia="微软雅黑"/>
          <w:b/>
          <w:color w:val="667085"/>
          <w:sz w:val="19"/>
        </w:rPr>
        <w:t>当前沙箱版本</w:t>
      </w:r>
      <w:r>
        <w:rPr>
          <w:rFonts w:ascii="微软雅黑" w:hAnsi="微软雅黑" w:eastAsia="微软雅黑"/>
          <w:b w:val="0"/>
          <w:color w:val="667085"/>
          <w:sz w:val="19"/>
        </w:rPr>
        <w:t>下的实际暴露程度。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风险描述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现有缓解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残余风险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加固建议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R-01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模拟短信验证码在界面上直接回显（为便于演示）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若照搬到生产，第二因素防护形同虚设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界面已明确标注"沙箱演示，真实环境由短信下发"；代码中无短信通道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仅限本地沙箱，无真实资金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生产必须</w:t>
            </w:r>
            <w:r>
              <w:rPr>
                <w:rFonts w:ascii="微软雅黑" w:hAnsi="微软雅黑" w:eastAsia="微软雅黑"/>
                <w:b w:val="0"/>
                <w:sz w:val="19"/>
              </w:rPr>
              <w:t>接入行内短信网关并删除回显逻辑（当前实现已把验证码校验独立在动作层，替换成本低）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R-02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无真实身份认证与设备绑定（无登录、无生物识别、无设备指纹）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任何人都可操作该沙箱内的演示账户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仅监听本机、单用户沙箱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本机单机演示，无外部可达路径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接入行内统一认证（登录态/生物识别/设备指纹），并在动作层校验操作者身份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R-03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反诈黑名单为内置模拟数据（2 条）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中高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真实场景下无法覆盖实时涉诈账户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黑名单匹配逻辑已实现（尾号后缀匹配），数据可替换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演示环境命中率可控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对接公安部/行内反诈名单接口，并增加名单版本与生效时间校验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R-04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大模型（可选）存在提示注入风险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恶意输入可能诱导模型越权意图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用户输入与系统指令分区隔离；仅暴露已实现工具；工具只返回数据；资金变更必须经门禁与人工确认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默认未启用大模型（使用本地意图引擎）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增加输入输出双向内容过滤、工具调用白名单策略、越权意图拦截与告警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R-05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单进程内存态、无分布式锁与幂等键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高并发下存在重复扣款的理论风险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执行前二次校验（余额/状态/限额）；待确认单状态机；单进程串行写入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单机单用户，无并发场景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引入幂等键（客户端请求 ID）、分布式锁或数据库事务，保证跨进程一致性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R-06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审计日志为本地文件，无防篡改与远程备份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无法满足监管级不可篡改留痕要求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六类全覆盖、立即落盘、编号连续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本机文件，有权限者可修改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接入 WORM 存储、日志服务或区块链存证；增加签名与哈希链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R-07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运行时状态文件明文存储客户账务数据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本地文件泄露即账务泄露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文件位于本机、已 gitignore、不含完整卡号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本机范围内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生产环境加密存储（KMS/字段级加密）、最小化留存、增加访问审计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R-08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缺少全局速率限制与账号级风控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可被用于高频试探（如反复发起小额转账）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验证码错误 3 次锁定票据；待确认单 2 分钟过期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本机演示影响有限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增加 IP/账号/设备维度限流，异常频次触发人工复核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R-09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意图误判风险（规则引擎覆盖面有限，口语表达无限）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可能答非所问或多问一句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优先级路由 + 可解释匹配度 + 无从确认时反问 + 多意图依次规划；336 项断言覆盖典型表达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未覆盖的表达会走兜底引导，不会误执行资金操作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增加线上埋点回流，将未识别表达定期沉淀进规则库；高风险意图保持"宁可多问一句"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R-10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依赖系统本地时间（夜间判定、T+0/T+1、周期性日期）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系统时钟异常会导致判定偏差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判定所需时间集中在配置层，便于统一替换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演示机时钟正常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生产接入统一时间源（NTP/行内时钟服务），关键判定使用服务端时间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R-11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前端未设置 CSP / 安全响应头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理论上的 XSS 与点击劫持风险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所有输出均经 HTML 转义；无三方脚本与外部资源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本地单页应用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生产环境增加 CSP、X-Frame-Options、Referrer-Policy 等安全头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R-12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无多用户/租户隔离（沙箱仅 1 个演示用户）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无法用于多客户场景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所有工具只读当前登录用户数据，无跨用户参数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单用户沙箱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引入租户与数据权限模型，所有查询强制带主体过滤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R-13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人脸识别为沙箱模拟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（卡片内点按即通过）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若照搬到生产，多因子退化为“点一下”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界面明确标注“沙箱模拟”；服务端强制要求 face 因子，字段独立可替换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仅限本地沙箱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生产必须接入行内人脸识别/活体检测（或 U 盾）SDK，并将因子结果由可信通道回传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R-14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虚拟卡额度较小但可即时开通，存在被滥用的理论空间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若被批量开通并用于异常交易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额度上限 ¥5,000（单笔 ¥2,000 / 日累计 ¥5,000）；开卡与冻结均写审计；风控规则同样适用于虚拟卡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沙箱内无真实资金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生产增加开卡频率限制与设备/人脸绑定</w:t>
            </w:r>
          </w:p>
        </w:tc>
      </w:tr>
      <w:tr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R-15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熔断后的解除目前由人工接口触发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运营效率依赖人工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熔断自动触发、自动过期（5 分钟），解除记录写审计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沙箱内可自行解除</w:t>
            </w:r>
          </w:p>
        </w:tc>
        <w:tc>
          <w:tcPr>
            <w:tcW w:type="dxa" w:w="13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生产接入客服复核流程与工单系统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4.1 风险分布小结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高</w:t>
      </w:r>
      <w:r>
        <w:rPr>
          <w:rFonts w:ascii="微软雅黑" w:hAnsi="微软雅黑" w:eastAsia="微软雅黑"/>
          <w:b w:val="0"/>
          <w:sz w:val="21"/>
        </w:rPr>
        <w:t>：3 项（R-01、R-02、R-13）——均为“沙箱演示形态”与“真实系统之间的差距”，且都已预留替换点（短信通道、认证接入点、人脸 SDK 接入点）。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中</w:t>
      </w:r>
      <w:r>
        <w:rPr>
          <w:rFonts w:ascii="微软雅黑" w:hAnsi="微软雅黑" w:eastAsia="微软雅黑"/>
          <w:b w:val="0"/>
          <w:sz w:val="21"/>
        </w:rPr>
        <w:t>：6 项，集中在反诈数据接入、并发一致性、审计合规、限流与意图覆盖。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低</w:t>
      </w:r>
      <w:r>
        <w:rPr>
          <w:rFonts w:ascii="微软雅黑" w:hAnsi="微软雅黑" w:eastAsia="微软雅黑"/>
          <w:b w:val="0"/>
          <w:sz w:val="21"/>
        </w:rPr>
        <w:t>：4 项（R-10 ~ R-12、R-14、R-15），属于规范化与工程化建议。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未发现</w:t>
      </w:r>
      <w:r>
        <w:rPr>
          <w:rFonts w:ascii="微软雅黑" w:hAnsi="微软雅黑" w:eastAsia="微软雅黑"/>
          <w:b w:val="0"/>
          <w:sz w:val="21"/>
        </w:rPr>
        <w:t>：绕过二次确认直接扣款、业务拒绝后仍执行、审计缺失、密钥泄露到前端、目录穿越、越权访问其他用户数据等</w:t>
      </w:r>
      <w:r>
        <w:rPr>
          <w:rFonts w:ascii="微软雅黑" w:hAnsi="微软雅黑" w:eastAsia="微软雅黑"/>
          <w:b/>
          <w:sz w:val="21"/>
        </w:rPr>
        <w:t>高危实现缺陷</w:t>
      </w:r>
      <w:r>
        <w:rPr>
          <w:rFonts w:ascii="微软雅黑" w:hAnsi="微软雅黑" w:eastAsia="微软雅黑"/>
          <w:b w:val="0"/>
          <w:sz w:val="21"/>
        </w:rPr>
        <w:t>——上述均有对应断言实测通过。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五、合规要求映射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合规要求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本作品实现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了解你的客户 / 风险测评前置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测评未做或过期时拒绝申购并引导测评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适当性管理（不向保守型客户推荐高风险产品）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白名单 + 等级序双重判定；超等级不推荐不可申购；拒绝写审计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风险揭示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待确认卡片内嵌风险揭示文本，并提供</w:t>
            </w:r>
            <w:r>
              <w:rPr>
                <w:rFonts w:ascii="微软雅黑" w:hAnsi="微软雅黑" w:eastAsia="微软雅黑"/>
                <w:b/>
                <w:sz w:val="19"/>
              </w:rPr>
              <w:t>朗读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全程留痕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六类操作入库，字段含风险等级、金额、原始请求、执行理由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反电信网络诈骗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陌生收款人、涉诈黑名单、夜间大额、整数大额、高风险话术 5 类规则前置拦截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客户知情同意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关键信息前置展示 + 二次确认 + 取消留痕；每步可解释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数据最小化与脱敏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接口仅输出掩码卡号/手机号；沙箱数据不接真实接口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六、自评结论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本作品在</w:t>
      </w:r>
      <w:r>
        <w:rPr>
          <w:rFonts w:ascii="微软雅黑" w:hAnsi="微软雅黑" w:eastAsia="微软雅黑"/>
          <w:b/>
          <w:sz w:val="21"/>
        </w:rPr>
        <w:t>沙箱形态下</w:t>
      </w:r>
      <w:r>
        <w:rPr>
          <w:rFonts w:ascii="微软雅黑" w:hAnsi="微软雅黑" w:eastAsia="微软雅黑"/>
          <w:b w:val="0"/>
          <w:sz w:val="21"/>
        </w:rPr>
        <w:t>已完整实现权限分级、风控前置、适当性管理、二次确认与全程留痕，并通过 309 项自动化断言与 23 项攻击面检查。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已知风险共 12 项，其中高危 2 项均为"演示形态与真实形态的差距"，</w:t>
      </w:r>
      <w:r>
        <w:rPr>
          <w:rFonts w:ascii="微软雅黑" w:hAnsi="微软雅黑" w:eastAsia="微软雅黑"/>
          <w:b/>
          <w:sz w:val="21"/>
        </w:rPr>
        <w:t>不是实现缺陷</w:t>
      </w:r>
      <w:r>
        <w:rPr>
          <w:rFonts w:ascii="微软雅黑" w:hAnsi="微软雅黑" w:eastAsia="微软雅黑"/>
          <w:b w:val="0"/>
          <w:sz w:val="21"/>
        </w:rPr>
        <w:t>，且替换点已在架构上预留（短信通道、认证接入点）。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本作品对能力边界保持诚实标注：不为展示效果夸大能力，也不隐藏已知限制。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