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B3D80"/>
          <w:sz w:val="36"/>
        </w:rPr>
        <w:t>银枢·AI银行副驾 · 作品简介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30"/>
        </w:rPr>
        <w:t>作品简介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作品名称</w:t>
      </w:r>
      <w:r>
        <w:rPr>
          <w:rFonts w:ascii="微软雅黑" w:hAnsi="微软雅黑" w:eastAsia="微软雅黑"/>
          <w:b w:val="0"/>
          <w:sz w:val="21"/>
        </w:rPr>
        <w:t>：银枢·AI银行副驾（YinShu AI Banking Copilot）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一句话介绍</w:t>
      </w:r>
      <w:r>
        <w:rPr>
          <w:rFonts w:ascii="微软雅黑" w:hAnsi="微软雅黑" w:eastAsia="微软雅黑"/>
          <w:b w:val="0"/>
          <w:sz w:val="21"/>
        </w:rPr>
        <w:t>：让用户用一句大白话办完银行业务，同时让每一步资金变动都安全、可解释、可追溯。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一、作品定位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 xml:space="preserve">面向青年客群（18–35 岁）的手机银行智能体。用户不需要在层层菜单里找入口，只要说一句"给我妈转两千块交物业费""上个月的钱都花哪了""下周我妈生日帮我安排一下"，AI 副驾就会自主完成 </w:t>
      </w:r>
      <w:r>
        <w:rPr>
          <w:rFonts w:ascii="微软雅黑" w:hAnsi="微软雅黑" w:eastAsia="微软雅黑"/>
          <w:b/>
          <w:sz w:val="21"/>
        </w:rPr>
        <w:t>意图理解 → 任务规划 → 调用银行工具执行 → 结果反馈</w:t>
      </w:r>
      <w:r>
        <w:rPr>
          <w:rFonts w:ascii="微软雅黑" w:hAnsi="微软雅黑" w:eastAsia="微软雅黑"/>
          <w:b w:val="0"/>
          <w:sz w:val="21"/>
        </w:rPr>
        <w:t>，并在涉及资金、理财、挂失等敏感操作时，先把"要做什么、金额多少、风险是什么"讲清楚，再由用户二次确认。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金融场景的特殊性在于：</w:t>
      </w:r>
      <w:r>
        <w:rPr>
          <w:rFonts w:ascii="微软雅黑" w:hAnsi="微软雅黑" w:eastAsia="微软雅黑"/>
          <w:b/>
          <w:sz w:val="21"/>
        </w:rPr>
        <w:t>体验再好，一旦安全失守就是零分</w:t>
      </w:r>
      <w:r>
        <w:rPr>
          <w:rFonts w:ascii="微软雅黑" w:hAnsi="微软雅黑" w:eastAsia="微软雅黑"/>
          <w:b w:val="0"/>
          <w:sz w:val="21"/>
        </w:rPr>
        <w:t>。因此本作品把"安全"做成产品的一等公民，而不是免责声明。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二、六大核心场景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智能转账</w:t>
      </w:r>
      <w:r>
        <w:rPr>
          <w:rFonts w:ascii="微软雅黑" w:hAnsi="微软雅黑" w:eastAsia="微软雅黑"/>
          <w:b w:val="0"/>
          <w:sz w:val="21"/>
        </w:rPr>
        <w:t>：按人名、昵称、手机号尾号、备注找收款人；转账前展示收款人、开户行、金额；定时转账、多人 AA 拆分收款、T+0 撤销最近一笔转账。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账单分析</w:t>
      </w:r>
      <w:r>
        <w:rPr>
          <w:rFonts w:ascii="微软雅黑" w:hAnsi="微软雅黑" w:eastAsia="微软雅黑"/>
          <w:b w:val="0"/>
          <w:sz w:val="21"/>
        </w:rPr>
        <w:t>：消费自动分类统计、环比分析、消费时段分布；月度与年度账单报告；评分制异常交易识别（深夜大额、异地交易、金额突增、境外交易），每笔异常都给出风险分与可核对证据。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理财操作</w:t>
      </w:r>
      <w:r>
        <w:rPr>
          <w:rFonts w:ascii="微软雅黑" w:hAnsi="微软雅黑" w:eastAsia="微软雅黑"/>
          <w:b w:val="0"/>
          <w:sz w:val="21"/>
        </w:rPr>
        <w:t>：先做风险测评（5 题问卷 → C1~C5），再做适当性过滤后推荐与对比，一键申购/赎回（含二次确认与风险提示朗读）。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卡片管理</w:t>
      </w:r>
      <w:r>
        <w:rPr>
          <w:rFonts w:ascii="微软雅黑" w:hAnsi="微软雅黑" w:eastAsia="微软雅黑"/>
          <w:b w:val="0"/>
          <w:sz w:val="21"/>
        </w:rPr>
        <w:t>：卡片申请、额度调整、交易限额与冻结/解冻、卡片挂失（挂失后立即冻结并返回受理回执）。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订阅/代扣管理</w:t>
      </w:r>
      <w:r>
        <w:rPr>
          <w:rFonts w:ascii="微软雅黑" w:hAnsi="微软雅黑" w:eastAsia="微软雅黑"/>
          <w:b w:val="0"/>
          <w:sz w:val="21"/>
        </w:rPr>
        <w:t>：从真实流水中自动识别周期性扣费，续费提前提醒，一键取消订阅。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跨场景联动</w:t>
      </w:r>
      <w:r>
        <w:rPr>
          <w:rFonts w:ascii="微软雅黑" w:hAnsi="微软雅黑" w:eastAsia="微软雅黑"/>
          <w:b w:val="0"/>
          <w:sz w:val="21"/>
        </w:rPr>
        <w:t>：一句"下周我妈生日"，AI 主动补充询问日期、预算与偏好，随后锁定资金、自动完成鲜花与蛋糕预订，并生成配送提醒——全链路在一个对话里完成。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三、安全与合规设计（本作品的核心竞争力）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三级权限分级</w:t>
      </w:r>
      <w:r>
        <w:rPr>
          <w:rFonts w:ascii="微软雅黑" w:hAnsi="微软雅黑" w:eastAsia="微软雅黑"/>
          <w:b w:val="0"/>
          <w:sz w:val="21"/>
        </w:rPr>
        <w:t>：🟢 绿色自动执行（纯查询）；🟡 黄色用户确认（小额转账当日累计 ≤¥1,000、订阅取消、虚拟卡申请）；🔴 红色多因子强验证（当日累计 &gt;¥1,000 的转账、交易密码修改、卡片挂失/解挂、理财申购与赎回）——红色需</w:t>
      </w:r>
      <w:r>
        <w:rPr>
          <w:rFonts w:ascii="微软雅黑" w:hAnsi="微软雅黑" w:eastAsia="微软雅黑"/>
          <w:b/>
          <w:sz w:val="21"/>
        </w:rPr>
        <w:t>短信验证码 + 人脸识别</w:t>
      </w:r>
      <w:r>
        <w:rPr>
          <w:rFonts w:ascii="微软雅黑" w:hAnsi="微软雅黑" w:eastAsia="微软雅黑"/>
          <w:b w:val="0"/>
          <w:sz w:val="21"/>
        </w:rPr>
        <w:t>双因子，且在对话里回复“确认”无效，必须到确认卡片完成现场因子。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风控规则引擎</w:t>
      </w:r>
      <w:r>
        <w:rPr>
          <w:rFonts w:ascii="微软雅黑" w:hAnsi="微软雅黑" w:eastAsia="微软雅黑"/>
          <w:b w:val="0"/>
          <w:sz w:val="21"/>
        </w:rPr>
        <w:t>：10 条规则独立判定（收款人不在常用名单、夜间大额、整数大额、涉诈黑名单、余额不足、超单笔/日限额、收款人不存在、高风险话术等），判定优先级为"硬阻断 &gt; 业务拒绝 &gt; 二次确认 &gt; 直接执行"。命中涉诈黑名单属于</w:t>
      </w:r>
      <w:r>
        <w:rPr>
          <w:rFonts w:ascii="微软雅黑" w:hAnsi="微软雅黑" w:eastAsia="微软雅黑"/>
          <w:b/>
          <w:sz w:val="21"/>
        </w:rPr>
        <w:t>阻断级</w:t>
      </w:r>
      <w:r>
        <w:rPr>
          <w:rFonts w:ascii="微软雅黑" w:hAnsi="微软雅黑" w:eastAsia="微软雅黑"/>
          <w:b w:val="0"/>
          <w:sz w:val="21"/>
        </w:rPr>
        <w:t>——即使客户坚持也不放行，并提示拨打 96110。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适当性管理</w:t>
      </w:r>
      <w:r>
        <w:rPr>
          <w:rFonts w:ascii="微软雅黑" w:hAnsi="微软雅黑" w:eastAsia="微软雅黑"/>
          <w:b w:val="0"/>
          <w:sz w:val="21"/>
        </w:rPr>
        <w:t>：理财推荐必须以风险测评等级为准，超等级产品不出现在推荐里、也不可申购，拒绝动作同样写入审计。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全程留痕</w:t>
      </w:r>
      <w:r>
        <w:rPr>
          <w:rFonts w:ascii="微软雅黑" w:hAnsi="微软雅黑" w:eastAsia="微软雅黑"/>
          <w:b w:val="0"/>
          <w:sz w:val="21"/>
        </w:rPr>
        <w:t>：成功、未就绪、失败、拒绝、取消、未识别意图六类操作全部入库，字段包含操作名、风险等级、金额、原始请求与执行理由。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知情同意</w:t>
      </w:r>
      <w:r>
        <w:rPr>
          <w:rFonts w:ascii="微软雅黑" w:hAnsi="微软雅黑" w:eastAsia="微软雅黑"/>
          <w:b w:val="0"/>
          <w:sz w:val="21"/>
        </w:rPr>
        <w:t>：Agent 每一步都可展开"为什么这么做"，让用户看懂而不是盲从。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四、技术特色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零依赖可离线运行</w:t>
      </w:r>
      <w:r>
        <w:rPr>
          <w:rFonts w:ascii="微软雅黑" w:hAnsi="微软雅黑" w:eastAsia="微软雅黑"/>
          <w:b w:val="0"/>
          <w:sz w:val="21"/>
        </w:rPr>
        <w:t>：后端基于 Node.js 内置模块，前端为原生 HTML/CSS/JS，</w:t>
      </w:r>
      <w:r>
        <w:rPr>
          <w:rFonts w:ascii="Consolas" w:hAnsi="Consolas" w:eastAsia="微软雅黑"/>
          <w:b w:val="0"/>
          <w:color w:val="B42318"/>
          <w:sz w:val="20"/>
        </w:rPr>
        <w:t>npm install &amp;&amp; npm start</w:t>
      </w:r>
      <w:r>
        <w:rPr>
          <w:rFonts w:ascii="微软雅黑" w:hAnsi="微软雅黑" w:eastAsia="微软雅黑"/>
          <w:b w:val="0"/>
          <w:sz w:val="21"/>
        </w:rPr>
        <w:t xml:space="preserve"> 一条命令启动，全部为本地沙箱数据，不接任何真实支付接口。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双引擎容灾</w:t>
      </w:r>
      <w:r>
        <w:rPr>
          <w:rFonts w:ascii="微软雅黑" w:hAnsi="微软雅黑" w:eastAsia="微软雅黑"/>
          <w:b w:val="0"/>
          <w:sz w:val="21"/>
        </w:rPr>
        <w:t>：默认使用内置本地意图引擎（断网也能演完整流程），配置大模型后自动切换；大模型超时或报错会自动降级，演示不中断。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过程可见的 Agent</w:t>
      </w:r>
      <w:r>
        <w:rPr>
          <w:rFonts w:ascii="微软雅黑" w:hAnsi="微软雅黑" w:eastAsia="微软雅黑"/>
          <w:b w:val="0"/>
          <w:sz w:val="21"/>
        </w:rPr>
        <w:t>：所有思考与工具调用以事件流实时推送（think → intent → plan → tool_call → tool_result），区别于普通聊天机器人。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可验证的质量体系</w:t>
      </w:r>
      <w:r>
        <w:rPr>
          <w:rFonts w:ascii="微软雅黑" w:hAnsi="微软雅黑" w:eastAsia="微软雅黑"/>
          <w:b w:val="0"/>
          <w:sz w:val="21"/>
        </w:rPr>
        <w:t>：内置 336 项单元/集成断言、20 项真实链路与持久化专项验证、25 项全链路彩排断言；异常识别引擎能够在完全不依赖预埋标记的前提下，独立复现数据中预埋的全部 4 笔异常且零误报。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五、创新点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安全从"提示语"变成"门禁"</w:t>
      </w:r>
      <w:r>
        <w:rPr>
          <w:rFonts w:ascii="微软雅黑" w:hAnsi="微软雅黑" w:eastAsia="微软雅黑"/>
          <w:b w:val="0"/>
          <w:sz w:val="21"/>
        </w:rPr>
        <w:t>：适当性与风控不通过时，连确认入口都不生成，从机制上避免用户被自己的一时冲动带走。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把"承诺合规"变成"可验证合规"</w:t>
      </w:r>
      <w:r>
        <w:rPr>
          <w:rFonts w:ascii="微软雅黑" w:hAnsi="微软雅黑" w:eastAsia="微软雅黑"/>
          <w:b w:val="0"/>
          <w:sz w:val="21"/>
        </w:rPr>
        <w:t>：每一条安全机制都有对应的自动化断言与界面证据，可现场逐条核对。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跨场景服务编排</w:t>
      </w:r>
      <w:r>
        <w:rPr>
          <w:rFonts w:ascii="微软雅黑" w:hAnsi="微软雅黑" w:eastAsia="微软雅黑"/>
          <w:b w:val="0"/>
          <w:sz w:val="21"/>
        </w:rPr>
        <w:t>：把银行业务与本地生活服务打通，"锁定资金 → 下单 → 释放剩余 → 生成提醒"形成闭环，金额完全守恒。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诚实的边界管理</w:t>
      </w:r>
      <w:r>
        <w:rPr>
          <w:rFonts w:ascii="微软雅黑" w:hAnsi="微软雅黑" w:eastAsia="微软雅黑"/>
          <w:b w:val="0"/>
          <w:sz w:val="21"/>
        </w:rPr>
        <w:t>：沙箱环境把"模拟短信验证码""赎回 T+0 加速""办卡仅到审核中"等差异在界面与回执中明确标注，绝不假装能力比实际更强。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六、应用价值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对青年用户：把"找入口、填表单、读条款"压缩成一句话，同时避免被诈骗话术和高风险产品伤害。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对银行：一方面降低柜面与客服压力、提升年轻客群活跃度；另一方面把分散在制度文件里的风控与适当性要求，落成可运行、可审计、可演示的系统能力。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补充能力</w:t>
      </w:r>
      <w:r>
        <w:rPr>
          <w:rFonts w:ascii="微软雅黑" w:hAnsi="微软雅黑" w:eastAsia="微软雅黑"/>
          <w:b w:val="0"/>
          <w:sz w:val="21"/>
        </w:rPr>
        <w:t>：同时接入 APP 主界面与 IM 文本通道；支持"回退上一步"撤销上一笔可逆操作、以及转人工接管；复杂请求会拆解为子任务 DAG 依次执行。项目内置路由审计工具（</w:t>
      </w:r>
      <w:r>
        <w:rPr>
          <w:rFonts w:ascii="Consolas" w:hAnsi="Consolas" w:eastAsia="微软雅黑"/>
          <w:b w:val="0"/>
          <w:color w:val="B42318"/>
          <w:sz w:val="20"/>
        </w:rPr>
        <w:t>npm run audit</w:t>
      </w:r>
      <w:r>
        <w:rPr>
          <w:rFonts w:ascii="微软雅黑" w:hAnsi="微软雅黑" w:eastAsia="微软雅黑"/>
          <w:b w:val="0"/>
          <w:sz w:val="21"/>
        </w:rPr>
        <w:t>），用现场台词逐条验证理解准确性。</w:t>
      </w:r>
    </w:p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