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2"/>
        </w:rPr>
        <w:t>银枢·AI银行副驾 · 系统架构图</w:t>
      </w:r>
    </w:p>
    <w:p>
      <w:r>
        <w:drawing>
          <wp:inline xmlns:a="http://schemas.openxmlformats.org/drawingml/2006/main" xmlns:pic="http://schemas.openxmlformats.org/drawingml/2006/picture">
            <wp:extent cx="5976000" cy="3877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7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667085"/>
          <w:sz w:val="18"/>
        </w:rPr>
        <w:t>图 1　系统架构（五层职责分离）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· 用户层：</w:t>
      </w:r>
      <w:r>
        <w:rPr>
          <w:rFonts w:ascii="微软雅黑" w:hAnsi="微软雅黑" w:eastAsia="微软雅黑"/>
          <w:b w:val="0"/>
          <w:sz w:val="20"/>
        </w:rPr>
        <w:t>对话区（自然语言/过程时间线/待确认卡片）与仿真手机银行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· 接入层：</w:t>
      </w:r>
      <w:r>
        <w:rPr>
          <w:rFonts w:ascii="微软雅黑" w:hAnsi="微软雅黑" w:eastAsia="微软雅黑"/>
          <w:b w:val="0"/>
          <w:sz w:val="20"/>
        </w:rPr>
        <w:t>HTTP + SSE；APP 主界面与 IM 文本通道（/api/im/webhook）接入同一内核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· 编排层：</w:t>
      </w:r>
      <w:r>
        <w:rPr>
          <w:rFonts w:ascii="微软雅黑" w:hAnsi="微软雅黑" w:eastAsia="微软雅黑"/>
          <w:b w:val="0"/>
          <w:sz w:val="20"/>
        </w:rPr>
        <w:t>think → intent → plan → tool_call → tool_result → confirm；复杂任务拆为子任务 DAG 按波次执行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· 引擎层：</w:t>
      </w:r>
      <w:r>
        <w:rPr>
          <w:rFonts w:ascii="微软雅黑" w:hAnsi="微软雅黑" w:eastAsia="微软雅黑"/>
          <w:b w:val="0"/>
          <w:sz w:val="20"/>
        </w:rPr>
        <w:t>风控规则引擎（10 条）、账单引擎（统计与评分制异常识别）、理财引擎（测评与适当性）、跨场景引擎（选品）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· 门禁/动作层：</w:t>
      </w:r>
      <w:r>
        <w:rPr>
          <w:rFonts w:ascii="微软雅黑" w:hAnsi="微软雅黑" w:eastAsia="微软雅黑"/>
          <w:b w:val="0"/>
          <w:sz w:val="20"/>
        </w:rPr>
        <w:t>安全门禁：硬阻断&gt;业务拒绝&gt;二次确认&gt;直接执行；动作层是唯一动资金的地方（待确认单/多因子/执行前二次校验/取消与回退）</w:t>
      </w:r>
    </w:p>
    <w:p>
      <w:pPr>
        <w:spacing w:after="80"/>
      </w:pPr>
      <w:r>
        <w:rPr>
          <w:rFonts w:ascii="微软雅黑" w:hAnsi="微软雅黑" w:eastAsia="微软雅黑"/>
          <w:b/>
          <w:sz w:val="20"/>
        </w:rPr>
        <w:t>· 数据层：</w:t>
      </w:r>
      <w:r>
        <w:rPr>
          <w:rFonts w:ascii="微软雅黑" w:hAnsi="微软雅黑" w:eastAsia="微软雅黑"/>
          <w:b w:val="0"/>
          <w:sz w:val="20"/>
        </w:rPr>
        <w:t>沙箱数据（确定性种子）与运行时状态（余额/台账/订单/持仓/订阅/审计/对话，原子落盘）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