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2"/>
        </w:rPr>
        <w:t>银鹭·AI银行副驾 · 系统架构图</w:t>
      </w:r>
    </w:p>
    <w:p>
      <w:r>
        <w:drawing>
          <wp:inline xmlns:a="http://schemas.openxmlformats.org/drawingml/2006/main" xmlns:pic="http://schemas.openxmlformats.org/drawingml/2006/picture">
            <wp:extent cx="5976000" cy="387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87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 w:val="0"/>
          <w:color w:val="667085"/>
          <w:sz w:val="18"/>
        </w:rPr>
        <w:t>图 1　系统架构（五层职责分离）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用户层：</w:t>
      </w:r>
      <w:r>
        <w:rPr>
          <w:rFonts w:ascii="微软雅黑" w:hAnsi="微软雅黑" w:eastAsia="微软雅黑"/>
          <w:b w:val="0"/>
          <w:sz w:val="20"/>
        </w:rPr>
        <w:t>对话区（自然语言输入/过程时间线/待确认卡片）与仿真手机银行（卡、账单、理财、安全中心）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接入层：</w:t>
      </w:r>
      <w:r>
        <w:rPr>
          <w:rFonts w:ascii="微软雅黑" w:hAnsi="微软雅黑" w:eastAsia="微软雅黑"/>
          <w:b w:val="0"/>
          <w:sz w:val="20"/>
        </w:rPr>
        <w:t>HTTP + SSE 流式事件；接口：/api/chat、/api/state、/api/action/confirm、/api/action/cancel、/api/security、/api/audit、/api/reset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编排层：</w:t>
      </w:r>
      <w:r>
        <w:rPr>
          <w:rFonts w:ascii="微软雅黑" w:hAnsi="微软雅黑" w:eastAsia="微软雅黑"/>
          <w:b w:val="0"/>
          <w:sz w:val="20"/>
        </w:rPr>
        <w:t>Agent 编排器按 think → intent → plan → tool_call → tool_result → confirm 推进；意图只做规划，不直接改数据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引擎层：</w:t>
      </w:r>
      <w:r>
        <w:rPr>
          <w:rFonts w:ascii="微软雅黑" w:hAnsi="微软雅黑" w:eastAsia="微软雅黑"/>
          <w:b w:val="0"/>
          <w:sz w:val="20"/>
        </w:rPr>
        <w:t>风控规则引擎（10 条规则）、账单引擎（统计与异常识别）、理财引擎（测评与适当性）、跨场景引擎（选品）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门禁/动作层：</w:t>
      </w:r>
      <w:r>
        <w:rPr>
          <w:rFonts w:ascii="微软雅黑" w:hAnsi="微软雅黑" w:eastAsia="微软雅黑"/>
          <w:b w:val="0"/>
          <w:sz w:val="20"/>
        </w:rPr>
        <w:t>安全门禁判定 硬阻断&gt;业务拒绝&gt;二次确认&gt;直接执行；动作层是唯一发生资金变动的地方（待确认单、验证码、执行前二次校验）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· 数据层：</w:t>
      </w:r>
      <w:r>
        <w:rPr>
          <w:rFonts w:ascii="微软雅黑" w:hAnsi="微软雅黑" w:eastAsia="微软雅黑"/>
          <w:b w:val="0"/>
          <w:sz w:val="20"/>
        </w:rPr>
        <w:t>沙箱数据（确定性种子）与运行时状态（余额/台账/订单/持仓/订阅/审计/对话，原子落盘）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