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B3D80"/>
          <w:sz w:val="36"/>
        </w:rPr>
        <w:t>银枢·AI银行副驾 · 方案正文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30"/>
        </w:rPr>
        <w:t>银枢·AI银行副驾 —— 方案正文</w:t>
      </w:r>
    </w:p>
    <w:p>
      <w:pPr>
        <w:ind w:left="340"/>
      </w:pPr>
      <w:r>
        <w:rPr>
          <w:rFonts w:ascii="微软雅黑" w:hAnsi="微软雅黑" w:eastAsia="微软雅黑"/>
          <w:b w:val="0"/>
          <w:color w:val="667085"/>
          <w:sz w:val="19"/>
        </w:rPr>
        <w:t>版本：v1.0（2026-09-22）　作品类型：面向青年客群的手机银行 AI 智能体</w:t>
      </w:r>
    </w:p>
    <w:p>
      <w:pPr>
        <w:ind w:left="340"/>
      </w:pPr>
      <w:r>
        <w:rPr>
          <w:rFonts w:ascii="微软雅黑" w:hAnsi="微软雅黑" w:eastAsia="微软雅黑"/>
          <w:b w:val="0"/>
          <w:color w:val="667085"/>
          <w:sz w:val="19"/>
        </w:rPr>
        <w:t>关键词：AI Agent、安全合规、分级授权、适当性管理、跨场景服务编排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一、项目概述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1.1 一句话价值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让用户用一句大白话办完银行业务，同时让每一步资金变动都安全、可解释、可追溯。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1.2 产品形态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"银枢·AI银行副驾"包含两部分：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左侧智能对话区</w:t>
      </w:r>
      <w:r>
        <w:rPr>
          <w:rFonts w:ascii="微软雅黑" w:hAnsi="微软雅黑" w:eastAsia="微软雅黑"/>
          <w:b w:val="0"/>
          <w:sz w:val="21"/>
        </w:rPr>
        <w:t>：用户用自然语言表达金融意图，AI 实时展示"思考 → 规划 → 调用工具 → 结果反馈"的完整过程。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右侧仿真手机银行</w:t>
      </w:r>
      <w:r>
        <w:rPr>
          <w:rFonts w:ascii="微软雅黑" w:hAnsi="微软雅黑" w:eastAsia="微软雅黑"/>
          <w:b w:val="0"/>
          <w:sz w:val="21"/>
        </w:rPr>
        <w:t>：卡片、账单与异常识别、订阅与代扣、理财与持仓、卡片业务、安全中心随对话实时联动。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所有数据为本地沙箱数据，不接入任何真实支付、银行或商户接口。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1.3 设计出发点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青年用户是手机银行的高频使用者，却也是电信诈骗与不当理财的主要受害群体。他们需要的不只是"更方便的入口"，而是</w:t>
      </w:r>
      <w:r>
        <w:rPr>
          <w:rFonts w:ascii="微软雅黑" w:hAnsi="微软雅黑" w:eastAsia="微软雅黑"/>
          <w:b/>
          <w:sz w:val="21"/>
        </w:rPr>
        <w:t>"更方便，但关键处有人替我把关"</w:t>
      </w:r>
      <w:r>
        <w:rPr>
          <w:rFonts w:ascii="微软雅黑" w:hAnsi="微软雅黑" w:eastAsia="微软雅黑"/>
          <w:b w:val="0"/>
          <w:sz w:val="21"/>
        </w:rPr>
        <w:t>。因此本方案把 AI 的能力用在两件事上：把复杂流程压缩成一句话，把风险判断前置到资金变动之前。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二、行业背景与痛点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痛点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具体表现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本作品的应对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入口深、操作碎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转账要找收款人、填金额、选卡、看限额；理财要读多页条款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一句话完成，参数由 Agent 从上下文抽取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风险提示形同虚设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弹窗一划而过，用户不读条款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关键信息以结构化卡片呈现，达到门槛必须验证码确认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适当性执行靠人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线下靠客户经理判断，线上靠客户自己"点过风险确认"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由系统强制过滤，超等级产品不推荐也不可申购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诈骗识别滞后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事后才发现被骗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收款人白名单、涉诈黑名单、夜间大额、整数大额等 10 条规则事前拦截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操作难以追溯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出问题后难复盘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六类操作全部留痕，含风险等级、原始请求与执行理由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客户"被静默续费"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订阅扣费不透明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从流水自动识别周期扣费、续费倒计时提醒、一键取消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三、产品设计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3.1 六大核心场景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场景一：智能转账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收款人识别支持：姓名、昵称（我妈/室友/房东）、手机号尾号、备注线索；无法确定时不猜，反问用户。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转账前强制展示：收款人、开户行、脱敏账号、金额、付款卡、命中的风控规则。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扩展能力：定时转账（每月某日）、AA 拆分收款（按人数平摊并生成待收清单）、T+0 撤销最近一笔转账（资金原路返回，超当日明确拒绝并指引柜面）。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场景二：账单分析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消费分类统计（占比、笔数、笔均）、环比上期、消费时段分布、商户榜、最大单笔。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年度报告：全年收支、月均/日均、最高与最低月份、分类占比。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异常交易识别（评分制）</w:t>
      </w:r>
      <w:r>
        <w:rPr>
          <w:rFonts w:ascii="微软雅黑" w:hAnsi="微软雅黑" w:eastAsia="微软雅黑"/>
          <w:b w:val="0"/>
          <w:sz w:val="21"/>
        </w:rPr>
        <w:t>：深夜大额、异地交易、境外交易、金额突增（相对同分类中位数）、超大额五类特征累加打分，≥40 分列入异常，每笔给出风险分与多条可核对证据。实测在 303 笔支出中独立复现数据里预埋的全部 4 笔异常，零误报。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场景三：理财操作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风险测评：5 题问卷（年龄、收入、资金占比、投资经验、亏损承受度），总分映射 C1（保守型）~ C5（进取型），有效期一年。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适当性过滤：以产品可售名单为权威依据，超等级产品从推荐中消失、也不可申购，并在回答中明确说明"收益再高也不会推荐"。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申购/赎回：三道门校验（测评有效性 → 适当性 → 起购金额与余额），确认卡片内嵌风险揭示并提供</w:t>
      </w:r>
      <w:r>
        <w:rPr>
          <w:rFonts w:ascii="微软雅黑" w:hAnsi="微软雅黑" w:eastAsia="微软雅黑"/>
          <w:b/>
          <w:sz w:val="21"/>
        </w:rPr>
        <w:t>风险提示朗读</w:t>
      </w:r>
      <w:r>
        <w:rPr>
          <w:rFonts w:ascii="微软雅黑" w:hAnsi="微软雅黑" w:eastAsia="微软雅黑"/>
          <w:b w:val="0"/>
          <w:sz w:val="21"/>
        </w:rPr>
        <w:t>；沙箱按 T+0 到账并在回执中标注真实环境为 T+1。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场景四：卡片管理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卡片申请：确认后生成受理单，状态"审核中（1–3 个工作日）"，不假装已发卡。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额度调整：校验单卡上限与已用额度，变更后可用额度同步重算。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交易限额/冻结：单笔与日累计限额校验；冻结即刻生效，可自助解冻。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卡片挂失：确认后立即冻结并标记"已挂失·不可恢复"，返回含受理编号的回执，不可自助解冻。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场景五：订阅/代扣管理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从真实流水中按"金额固定 + 间隔稳定（约 30 天）+ 出现≥3 次"自动识别周期扣费，并给出识别依据。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年度型订阅（一年仅扣一次）由已登记信息提供，明确标注"已登记"而非"已自动识别"——不夸大识别能力。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续费提前提醒（含剩余天数）与一键取消，取消后不再自动扣费。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场景六：跨场景联动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一句"下周我妈生日"：识别对象、场合，主动补问日期、预算与偏好（一次问全，不逐步骚扰）。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在预算内挑选总价最高的组合（¥500 预算 → 玫瑰礼盒 ¥268 + 6 寸慕斯 ¥218 = ¥486，余 ¥14 预留运费）。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执行时序：</w:t>
      </w:r>
      <w:r>
        <w:rPr>
          <w:rFonts w:ascii="微软雅黑" w:hAnsi="微软雅黑" w:eastAsia="微软雅黑"/>
          <w:b/>
          <w:sz w:val="21"/>
        </w:rPr>
        <w:t>锁定资金 → 逐笔下单 → 释放剩余 → 生成配送提醒</w:t>
      </w:r>
      <w:r>
        <w:rPr>
          <w:rFonts w:ascii="微软雅黑" w:hAnsi="微软雅黑" w:eastAsia="微软雅黑"/>
          <w:b w:val="0"/>
          <w:sz w:val="21"/>
        </w:rPr>
        <w:t>，金额完全守恒，并生成提前一天的配送确认提醒。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3.2 交互设计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过程可见</w:t>
      </w:r>
      <w:r>
        <w:rPr>
          <w:rFonts w:ascii="微软雅黑" w:hAnsi="微软雅黑" w:eastAsia="微软雅黑"/>
          <w:b w:val="0"/>
          <w:sz w:val="21"/>
        </w:rPr>
        <w:t>：每个意图与工具调用都以时间线呈现，每步可展开"为什么这么做"。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确认即卡片</w:t>
      </w:r>
      <w:r>
        <w:rPr>
          <w:rFonts w:ascii="微软雅黑" w:hAnsi="微软雅黑" w:eastAsia="微软雅黑"/>
          <w:b w:val="0"/>
          <w:sz w:val="21"/>
        </w:rPr>
        <w:t>：待确认操作以卡片形式展示关键信息，含风险提示、验证码输入、朗读按钮与取消入口；也可直接在对话里回复"确认"。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实时联动</w:t>
      </w:r>
      <w:r>
        <w:rPr>
          <w:rFonts w:ascii="微软雅黑" w:hAnsi="微软雅黑" w:eastAsia="微软雅黑"/>
          <w:b w:val="0"/>
          <w:sz w:val="21"/>
        </w:rPr>
        <w:t>：对话查到什么，右侧就显示什么（查询结果整批联动、卡片高亮、异常卡片定位）。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状态保留</w:t>
      </w:r>
      <w:r>
        <w:rPr>
          <w:rFonts w:ascii="微软雅黑" w:hAnsi="微软雅黑" w:eastAsia="微软雅黑"/>
          <w:b w:val="0"/>
          <w:sz w:val="21"/>
        </w:rPr>
        <w:t>：刷新与重启后，对话、订单、持仓、订阅状态全部保留。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四、安全与合规体系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4.1 分级授权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级别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覆盖操作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处理方式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🟢 绿色·自动执行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查询类（余额、明细、账单、订阅、持仓、收益查询、风控预检）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确认意图后直接执行，写审计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🟡 黄色·用户确认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小额转账（</w:t>
            </w:r>
            <w:r>
              <w:rPr>
                <w:rFonts w:ascii="微软雅黑" w:hAnsi="微软雅黑" w:eastAsia="微软雅黑"/>
                <w:b/>
                <w:sz w:val="19"/>
              </w:rPr>
              <w:t>当日累计 ≤ ¥1,000</w:t>
            </w:r>
            <w:r>
              <w:rPr>
                <w:rFonts w:ascii="微软雅黑" w:hAnsi="微软雅黑" w:eastAsia="微软雅黑"/>
                <w:b w:val="0"/>
                <w:sz w:val="19"/>
              </w:rPr>
              <w:t>）、订阅取消、</w:t>
            </w:r>
            <w:r>
              <w:rPr>
                <w:rFonts w:ascii="微软雅黑" w:hAnsi="微软雅黑" w:eastAsia="微软雅黑"/>
                <w:b/>
                <w:sz w:val="19"/>
              </w:rPr>
              <w:t>虚拟卡申请</w:t>
            </w:r>
            <w:r>
              <w:rPr>
                <w:rFonts w:ascii="微软雅黑" w:hAnsi="微软雅黑" w:eastAsia="微软雅黑"/>
                <w:b w:val="0"/>
                <w:sz w:val="19"/>
              </w:rPr>
              <w:t>、交易限额、冻结/解冻、实体卡申请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展示关键信息 + 点击确认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🔴 红色·多因子强验证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大额转账（</w:t>
            </w:r>
            <w:r>
              <w:rPr>
                <w:rFonts w:ascii="微软雅黑" w:hAnsi="微软雅黑" w:eastAsia="微软雅黑"/>
                <w:b/>
                <w:sz w:val="19"/>
              </w:rPr>
              <w:t>当日累计 &gt; ¥1,000</w:t>
            </w:r>
            <w:r>
              <w:rPr>
                <w:rFonts w:ascii="微软雅黑" w:hAnsi="微软雅黑" w:eastAsia="微软雅黑"/>
                <w:b w:val="0"/>
                <w:sz w:val="19"/>
              </w:rPr>
              <w:t>）、</w:t>
            </w:r>
            <w:r>
              <w:rPr>
                <w:rFonts w:ascii="微软雅黑" w:hAnsi="微软雅黑" w:eastAsia="微软雅黑"/>
                <w:b/>
                <w:sz w:val="19"/>
              </w:rPr>
              <w:t>交易密码修改</w:t>
            </w:r>
            <w:r>
              <w:rPr>
                <w:rFonts w:ascii="微软雅黑" w:hAnsi="微软雅黑" w:eastAsia="微软雅黑"/>
                <w:b w:val="0"/>
                <w:sz w:val="19"/>
              </w:rPr>
              <w:t>、卡片</w:t>
            </w:r>
            <w:r>
              <w:rPr>
                <w:rFonts w:ascii="微软雅黑" w:hAnsi="微软雅黑" w:eastAsia="微软雅黑"/>
                <w:b/>
                <w:sz w:val="19"/>
              </w:rPr>
              <w:t>挂失/解挂</w:t>
            </w:r>
            <w:r>
              <w:rPr>
                <w:rFonts w:ascii="微软雅黑" w:hAnsi="微软雅黑" w:eastAsia="微软雅黑"/>
                <w:b w:val="0"/>
                <w:sz w:val="19"/>
              </w:rPr>
              <w:t>、理财申购与赎回、额度调整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展示关键信息 + </w:t>
            </w:r>
            <w:r>
              <w:rPr>
                <w:rFonts w:ascii="微软雅黑" w:hAnsi="微软雅黑" w:eastAsia="微软雅黑"/>
                <w:b/>
                <w:sz w:val="19"/>
              </w:rPr>
              <w:t>短信验证码 + 人脸识别</w:t>
            </w:r>
            <w:r>
              <w:rPr>
                <w:rFonts w:ascii="微软雅黑" w:hAnsi="微软雅黑" w:eastAsia="微软雅黑"/>
                <w:b w:val="0"/>
                <w:sz w:val="19"/>
              </w:rPr>
              <w:t>（沙箱模拟）；红色操作</w:t>
            </w:r>
            <w:r>
              <w:rPr>
                <w:rFonts w:ascii="微软雅黑" w:hAnsi="微软雅黑" w:eastAsia="微软雅黑"/>
                <w:b/>
                <w:sz w:val="19"/>
              </w:rPr>
              <w:t>不能在对话里用“确认”代替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阻断级（涉诈黑名单）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任意金额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直接拦截，不提供确认入口</w:t>
            </w:r>
            <w:r>
              <w:rPr>
                <w:rFonts w:ascii="微软雅黑" w:hAnsi="微软雅黑" w:eastAsia="微软雅黑"/>
                <w:b w:val="0"/>
                <w:sz w:val="19"/>
              </w:rPr>
              <w:t>，提示拨打 96110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业务拒绝（收款人不存在、余额不足、超限额、适当性不符、测评过期）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——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拒绝并给出原因与差额，明确"未发生任何资金变动"</w:t>
            </w:r>
          </w:p>
        </w:tc>
      </w:tr>
    </w:tbl>
    <w:p/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 xml:space="preserve">字段说明：分级由 </w:t>
      </w:r>
      <w:r>
        <w:rPr>
          <w:rFonts w:ascii="Consolas" w:hAnsi="Consolas" w:eastAsia="微软雅黑"/>
          <w:b w:val="0"/>
          <w:color w:val="B42318"/>
          <w:sz w:val="20"/>
        </w:rPr>
        <w:t>securityGuard.classifyTier</w:t>
      </w:r>
      <w:r>
        <w:rPr>
          <w:rFonts w:ascii="微软雅黑" w:hAnsi="微软雅黑" w:eastAsia="微软雅黑"/>
          <w:b w:val="0"/>
          <w:sz w:val="21"/>
        </w:rPr>
        <w:t xml:space="preserve"> 统一判定，转账按</w:t>
      </w:r>
      <w:r>
        <w:rPr>
          <w:rFonts w:ascii="微软雅黑" w:hAnsi="微软雅黑" w:eastAsia="微软雅黑"/>
          <w:b/>
          <w:sz w:val="21"/>
        </w:rPr>
        <w:t>当日累计</w:t>
      </w:r>
      <w:r>
        <w:rPr>
          <w:rFonts w:ascii="微软雅黑" w:hAnsi="微软雅黑" w:eastAsia="微软雅黑"/>
          <w:b w:val="0"/>
          <w:sz w:val="21"/>
        </w:rPr>
        <w:t>（今日已完成转账之和 + 本笔）而非单笔金额；分级依据在界面上直接可见。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4.2 风控规则引擎（10 条）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R-01 收款人不在常用名单 · R-02 收款账户涉诈黑名单 · R-03 金额达到二次确认阈值 · R-04 夜间大额 · R-05 整数大额 · R-06 可用余额不足 · R-07 超单笔限额 · R-08 超当日累计限额 · R-09 收款人不存在 · R-10 备注命中高风险话术（刷单、保证金、安全账户、催促话术等）。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规则目录是规则数量的唯一来源，验收脚本会校验"对外声明的条数 = 实际执行条数"，从机制上防止出现写死的规则数量。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4.3 适当性管理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先测评、再适当性、才推荐；不匹配即拒绝，拒绝动作写入审计（可追溯"系统为何不卖"）。降为 C1 保守型后，可推荐产品立即收缩，且申购 R2 产品会被直接拦截。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4.4 全程留痕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成功、未就绪、失败、拒绝、取消、未识别意图六类操作全部写入本地操作日志，含操作名、风险等级、金额、原始请求与执行理由；审计编号在进程重启后连续不重号。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4.5 知情同意与边界管理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每一步敏感操作都提供"为什么这么做"的解释入口；对沙箱与真实环境的差异（模拟验证码、赎回 T+0 加速、办卡仅到审核中）在界面与回执中明确标注。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五、技术架构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浏览器（原生 HTML / CSS / JS，无框架依赖）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├─ 左：对话区（Agent 过程时间线 + 流式回答 + 待确认卡片）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└─ 右：仿真手机银行（卡片/账单/理财/安全中心）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│  fetch + SSE 流式事件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▼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Node.js 零依赖后端（仅监听 127.0.0.1，单命令启动）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├─ store.js        状态仓库（内存 + 落盘 + 全程留痕 + 对话持久化）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├─ data/mockdata.js 确定性种子生成的沙箱数据（可复现）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└─ agent/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├─ orchestrator.js  编排器：意图 → 规划 → 工具 → 确认 → 反馈（事件流）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├─ tools.js         25 个银行工具（含风险等级与是否需二次确认）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├─ actions.js       动作层：待确认单/验证码/执行/取消（真实扣款只在这里）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├─ riskEngine.js    风控规则引擎（10 条规则 + 收款人解析 + 黑名单）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├─ billEngine.js    账单分析引擎（统计 / 评分制异常识别 / 订阅自动识别）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├─ wealthEngine.js  理财引擎（风险测评 / 适当性 / 推荐对比 / 持仓）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├─ giftEngine.js    跨场景联动引擎（对象·日期·预算识别 / 预算内选品）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├─ nlu.js           中文口语解析（金额 / 时间 / 分类 / 称谓）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└─ llm.js           大模型网关（OpenAI 兼容，可开关）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技术选型要点：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零第三方依赖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微软雅黑"/>
          <w:b w:val="0"/>
          <w:color w:val="B42318"/>
          <w:sz w:val="20"/>
        </w:rPr>
        <w:t>npm install</w:t>
      </w:r>
      <w:r>
        <w:rPr>
          <w:rFonts w:ascii="微软雅黑" w:hAnsi="微软雅黑" w:eastAsia="微软雅黑"/>
          <w:b w:val="0"/>
          <w:sz w:val="21"/>
        </w:rPr>
        <w:t xml:space="preserve"> 秒过、</w:t>
      </w:r>
      <w:r>
        <w:rPr>
          <w:rFonts w:ascii="Consolas" w:hAnsi="Consolas" w:eastAsia="微软雅黑"/>
          <w:b w:val="0"/>
          <w:color w:val="B42318"/>
          <w:sz w:val="20"/>
        </w:rPr>
        <w:t>npm start</w:t>
      </w:r>
      <w:r>
        <w:rPr>
          <w:rFonts w:ascii="微软雅黑" w:hAnsi="微软雅黑" w:eastAsia="微软雅黑"/>
          <w:b w:val="0"/>
          <w:sz w:val="21"/>
        </w:rPr>
        <w:t xml:space="preserve"> 一条命令启动，规避现场环境风险。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双引擎容灾</w:t>
      </w:r>
      <w:r>
        <w:rPr>
          <w:rFonts w:ascii="微软雅黑" w:hAnsi="微软雅黑" w:eastAsia="微软雅黑"/>
          <w:b w:val="0"/>
          <w:sz w:val="21"/>
        </w:rPr>
        <w:t>：默认本地意图引擎，配置大模型后自动切换；大模型失败自动降级，演示不中断。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密钥隔离</w:t>
      </w:r>
      <w:r>
        <w:rPr>
          <w:rFonts w:ascii="微软雅黑" w:hAnsi="微软雅黑" w:eastAsia="微软雅黑"/>
          <w:b w:val="0"/>
          <w:sz w:val="21"/>
        </w:rPr>
        <w:t>：大模型 API Key 仅由后端读取，前端代码零密钥引用。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只监听本机</w:t>
      </w:r>
      <w:r>
        <w:rPr>
          <w:rFonts w:ascii="微软雅黑" w:hAnsi="微软雅黑" w:eastAsia="微软雅黑"/>
          <w:b w:val="0"/>
          <w:sz w:val="21"/>
        </w:rPr>
        <w:t>：服务仅绑定 127.0.0.1，局域网不可访问；静态资源做了目录穿越防护。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六、关键创新点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安全即门禁</w:t>
      </w:r>
      <w:r>
        <w:rPr>
          <w:rFonts w:ascii="微软雅黑" w:hAnsi="微软雅黑" w:eastAsia="微软雅黑"/>
          <w:b w:val="0"/>
          <w:sz w:val="21"/>
        </w:rPr>
        <w:t>：适当性与风控不通过时，系统不生成确认入口——用户不会有机会"确认一个本来就不该发生的操作"。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可验证合规</w:t>
      </w:r>
      <w:r>
        <w:rPr>
          <w:rFonts w:ascii="微软雅黑" w:hAnsi="微软雅黑" w:eastAsia="微软雅黑"/>
          <w:b w:val="0"/>
          <w:sz w:val="21"/>
        </w:rPr>
        <w:t>：每条安全机制都有自动化断言与界面证据支撑（含用独立进程读取磁盘以证明数据真落盘、异常识别独立复现预埋异常）。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跨场景服务编排</w:t>
      </w:r>
      <w:r>
        <w:rPr>
          <w:rFonts w:ascii="微软雅黑" w:hAnsi="微软雅黑" w:eastAsia="微软雅黑"/>
          <w:b w:val="0"/>
          <w:sz w:val="21"/>
        </w:rPr>
        <w:t>：银行服务与本地生活服务打通，"锁定资金 → 下单 → 释放剩余 → 提醒"闭环，金额守恒、可撤销。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意图路由的优先级设计</w:t>
      </w:r>
      <w:r>
        <w:rPr>
          <w:rFonts w:ascii="微软雅黑" w:hAnsi="微软雅黑" w:eastAsia="微软雅黑"/>
          <w:b w:val="0"/>
          <w:sz w:val="21"/>
        </w:rPr>
        <w:t>：预检优先于执行（"能不能转"≠"给我转"）、撤销优先于普通转账、取消订阅优先于订阅查询，避免一句话被错误的意图抢走。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上下文承接与防劫持</w:t>
      </w:r>
      <w:r>
        <w:rPr>
          <w:rFonts w:ascii="微软雅黑" w:hAnsi="微软雅黑" w:eastAsia="微软雅黑"/>
          <w:b w:val="0"/>
          <w:sz w:val="21"/>
        </w:rPr>
        <w:t>：跨轮追问能承接上文（"下周三，五百左右，花和蛋糕都要"），同时在"没有其他意图命中 + 句子像补充信息 + 10 分钟内"三重条件下才接管，绝不劫持无关提问。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诚实的能力边界</w:t>
      </w:r>
      <w:r>
        <w:rPr>
          <w:rFonts w:ascii="微软雅黑" w:hAnsi="微软雅黑" w:eastAsia="微软雅黑"/>
          <w:b w:val="0"/>
          <w:sz w:val="21"/>
        </w:rPr>
        <w:t>：对未实现或沙箱差异一律如实标注，系统中不存在"编造的执行结果"。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七、验证与质量保证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验证手段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规模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npm run selftest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264 项断言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沙箱数据、中文口语解析、工具、Agent 编排、意图路由与降级、异常输入、真实链路与持久化、风控引擎、二次确认与取消、六个场景全链路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npm run verify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20 项断言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真实链路与持久化专项：用独立进程读磁盘证明落盘；刷新与重启后状态保留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npm run rehearsal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25 项断言 + 计时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按演示顺序自动跑完 6 个场景，输出彩排报告（实测总时长可控在 180 秒内）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安全探针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23 项检查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目录穿越 6 种变体全拦截、异常输入 8 例全部合规、信息泄露 5 项检查、仅监听本机</w:t>
            </w:r>
          </w:p>
        </w:tc>
      </w:tr>
    </w:tbl>
    <w:p/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其中最有说服力的两项证据：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异常识别独立复现</w:t>
      </w:r>
      <w:r>
        <w:rPr>
          <w:rFonts w:ascii="微软雅黑" w:hAnsi="微软雅黑" w:eastAsia="微软雅黑"/>
          <w:b w:val="0"/>
          <w:sz w:val="21"/>
        </w:rPr>
        <w:t>：数据中预埋 4 笔异常，评分引擎在 303 笔支出中恰好识别出这 4 笔，且无额外误报。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持久化跨进程验证</w:t>
      </w:r>
      <w:r>
        <w:rPr>
          <w:rFonts w:ascii="微软雅黑" w:hAnsi="微软雅黑" w:eastAsia="微软雅黑"/>
          <w:b w:val="0"/>
          <w:sz w:val="21"/>
        </w:rPr>
        <w:t>：用独立进程读取状态文件，证明数据真的落盘而非只存在于服务内存。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八、演示与落地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8.1 三分钟演示脚本（摘要）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时间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场景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口语指令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看点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0:00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开场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——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一句话讲清产品与"安全优先"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0:12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智能转账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给陈小雨转两万，尾号7742，她催得挺急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高光 A：直接拦截</w:t>
            </w:r>
            <w:r>
              <w:rPr>
                <w:rFonts w:ascii="微软雅黑" w:hAnsi="微软雅黑" w:eastAsia="微软雅黑"/>
                <w:b w:val="0"/>
                <w:sz w:val="19"/>
              </w:rPr>
              <w:t>，不给确认入口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0:42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账单分析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上个月的钱都花哪了？有没有不对劲的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一句话两步：分类统计 + 4 笔异常（风险分 + 证据）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1:00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订阅管理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把那个老扣我钱的会员关了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自动定位具体订阅并说明依据 → 确认 → 不再扣费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1:15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理财操作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拿一万块买理财，帮我挑个收益最高的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题眼：不顺着用户</w:t>
            </w:r>
            <w:r>
              <w:rPr>
                <w:rFonts w:ascii="微软雅黑" w:hAnsi="微软雅黑" w:eastAsia="微软雅黑"/>
                <w:b w:val="0"/>
                <w:sz w:val="19"/>
              </w:rPr>
              <w:t>，超等级产品直接屏蔽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1:33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卡片管理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我那张白金卡找不到了，先挂失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立即冻结 + 受理编号回执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1:48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跨场景联动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下周我妈生日，帮我安排一下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高光 B：一句话全链路</w:t>
            </w:r>
            <w:r>
              <w:rPr>
                <w:rFonts w:ascii="微软雅黑" w:hAnsi="微软雅黑" w:eastAsia="微软雅黑"/>
                <w:b w:val="0"/>
                <w:sz w:val="19"/>
              </w:rPr>
              <w:t>，锁 500 / 花 486 / 留 14 + 两笔订单 + 提醒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2:32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收尾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——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停在"安全中心"操作日志：每一步都可查</w:t>
            </w:r>
          </w:p>
        </w:tc>
      </w:tr>
    </w:tbl>
    <w:p/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 xml:space="preserve">（完整脚本含每步点哪里、说什么、评委追问预案，见项目 </w:t>
      </w:r>
      <w:r>
        <w:rPr>
          <w:rFonts w:ascii="Consolas" w:hAnsi="Consolas" w:eastAsia="微软雅黑"/>
          <w:b w:val="0"/>
          <w:color w:val="B42318"/>
          <w:sz w:val="20"/>
        </w:rPr>
        <w:t>docs/3分钟现场演示脚本.md</w:t>
      </w:r>
      <w:r>
        <w:rPr>
          <w:rFonts w:ascii="微软雅黑" w:hAnsi="微软雅黑" w:eastAsia="微软雅黑"/>
          <w:b w:val="0"/>
          <w:sz w:val="21"/>
        </w:rPr>
        <w:t>。）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8.2 落地路径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数据源接入</w:t>
      </w:r>
      <w:r>
        <w:rPr>
          <w:rFonts w:ascii="微软雅黑" w:hAnsi="微软雅黑" w:eastAsia="微软雅黑"/>
          <w:b w:val="0"/>
          <w:sz w:val="21"/>
        </w:rPr>
        <w:t>：把本地沙箱数据替换为行内客户、账户、账单、产品、订阅与黑名单数据（引擎接口已抽象）。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执行通道接入</w:t>
      </w:r>
      <w:r>
        <w:rPr>
          <w:rFonts w:ascii="微软雅黑" w:hAnsi="微软雅黑" w:eastAsia="微软雅黑"/>
          <w:b w:val="0"/>
          <w:sz w:val="21"/>
        </w:rPr>
        <w:t>：动作层（</w:t>
      </w:r>
      <w:r>
        <w:rPr>
          <w:rFonts w:ascii="Consolas" w:hAnsi="Consolas" w:eastAsia="微软雅黑"/>
          <w:b w:val="0"/>
          <w:color w:val="B42318"/>
          <w:sz w:val="20"/>
        </w:rPr>
        <w:t>actions.js</w:t>
      </w:r>
      <w:r>
        <w:rPr>
          <w:rFonts w:ascii="微软雅黑" w:hAnsi="微软雅黑" w:eastAsia="微软雅黑"/>
          <w:b w:val="0"/>
          <w:sz w:val="21"/>
        </w:rPr>
        <w:t>）是唯一发生资金变动的地方，替换为行内核心系统或开放平台接口即可，确认与留痕逻辑无需改动。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大模型合规接入</w:t>
      </w:r>
      <w:r>
        <w:rPr>
          <w:rFonts w:ascii="微软雅黑" w:hAnsi="微软雅黑" w:eastAsia="微软雅黑"/>
          <w:b w:val="0"/>
          <w:sz w:val="21"/>
        </w:rPr>
        <w:t>：可对接行内私有化大模型（本项目已支持 OpenAI 兼容协议，且默认具备离线降级能力）。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风控策略运营</w:t>
      </w:r>
      <w:r>
        <w:rPr>
          <w:rFonts w:ascii="微软雅黑" w:hAnsi="微软雅黑" w:eastAsia="微软雅黑"/>
          <w:b w:val="0"/>
          <w:sz w:val="21"/>
        </w:rPr>
        <w:t>：10 条规则与阈值集中在配置中，可随行内策略调整，并保留每次判定的证据链。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九、团队分工与进度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分工模式：技术方案、系统开发、演示脚本与文档由 AI 协作产出；报名、实名、提交、答辩由本人完成。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交付状态：功能与文档均已定稿，项目可在本地一键启动并完整演示；已通过全部自动化验收与全链路彩排。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十、边界与诚实声明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本项目全部使用</w:t>
      </w:r>
      <w:r>
        <w:rPr>
          <w:rFonts w:ascii="微软雅黑" w:hAnsi="微软雅黑" w:eastAsia="微软雅黑"/>
          <w:b/>
          <w:sz w:val="21"/>
        </w:rPr>
        <w:t>本地沙箱数据</w:t>
      </w:r>
      <w:r>
        <w:rPr>
          <w:rFonts w:ascii="微软雅黑" w:hAnsi="微软雅黑" w:eastAsia="微软雅黑"/>
          <w:b w:val="0"/>
          <w:sz w:val="21"/>
        </w:rPr>
        <w:t>，不接入任何真实支付、银行、商户接口（界面常驻"沙箱演示环境"标识）。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模拟短信验证码</w:t>
      </w:r>
      <w:r>
        <w:rPr>
          <w:rFonts w:ascii="微软雅黑" w:hAnsi="微软雅黑" w:eastAsia="微软雅黑"/>
          <w:b w:val="0"/>
          <w:sz w:val="21"/>
        </w:rPr>
        <w:t>在沙箱中直接显示并标注"真实环境由短信下发"，真实实现不会回显。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 xml:space="preserve">理财赎回按 </w:t>
      </w:r>
      <w:r>
        <w:rPr>
          <w:rFonts w:ascii="微软雅黑" w:hAnsi="微软雅黑" w:eastAsia="微软雅黑"/>
          <w:b/>
          <w:sz w:val="21"/>
        </w:rPr>
        <w:t>T+0 到账</w:t>
      </w:r>
      <w:r>
        <w:rPr>
          <w:rFonts w:ascii="微软雅黑" w:hAnsi="微软雅黑" w:eastAsia="微软雅黑"/>
          <w:b w:val="0"/>
          <w:sz w:val="21"/>
        </w:rPr>
        <w:t>（沙箱加速），回执中明确标注真实环境为 T+1。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办卡申请</w:t>
      </w:r>
      <w:r>
        <w:rPr>
          <w:rFonts w:ascii="微软雅黑" w:hAnsi="微软雅黑" w:eastAsia="微软雅黑"/>
          <w:b/>
          <w:sz w:val="21"/>
        </w:rPr>
        <w:t>仅到"审核中"</w:t>
      </w:r>
      <w:r>
        <w:rPr>
          <w:rFonts w:ascii="微软雅黑" w:hAnsi="微软雅黑" w:eastAsia="微软雅黑"/>
          <w:b w:val="0"/>
          <w:sz w:val="21"/>
        </w:rPr>
        <w:t>，不假装已发卡；定时转账</w:t>
      </w:r>
      <w:r>
        <w:rPr>
          <w:rFonts w:ascii="微软雅黑" w:hAnsi="微软雅黑" w:eastAsia="微软雅黑"/>
          <w:b/>
          <w:sz w:val="21"/>
        </w:rPr>
        <w:t>仅创建计划</w:t>
      </w:r>
      <w:r>
        <w:rPr>
          <w:rFonts w:ascii="微软雅黑" w:hAnsi="微软雅黑" w:eastAsia="微软雅黑"/>
          <w:b w:val="0"/>
          <w:sz w:val="21"/>
        </w:rPr>
        <w:t>，不模拟系统时间推进。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所有未实现或受沙箱限制的能力一律如实标注，系统中</w:t>
      </w:r>
      <w:r>
        <w:rPr>
          <w:rFonts w:ascii="微软雅黑" w:hAnsi="微软雅黑" w:eastAsia="微软雅黑"/>
          <w:b/>
          <w:sz w:val="21"/>
        </w:rPr>
        <w:t>不存在编造的执行结果</w:t>
      </w:r>
      <w:r>
        <w:rPr>
          <w:rFonts w:ascii="微软雅黑" w:hAnsi="微软雅黑" w:eastAsia="微软雅黑"/>
          <w:b w:val="0"/>
          <w:sz w:val="21"/>
        </w:rPr>
        <w:t>。</w:t>
      </w:r>
    </w:p>
    <w:sectPr w:rsidR="00FC693F" w:rsidRPr="0006063C" w:rsidSect="00034616">
      <w:pgSz w:w="12240" w:h="15840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