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CF685" w14:textId="37FF032E" w:rsidR="00F33423" w:rsidRPr="0037658E" w:rsidRDefault="00F33423" w:rsidP="00F33423">
      <w:pPr>
        <w:jc w:val="center"/>
        <w:rPr>
          <w:rFonts w:ascii="Times New Roman" w:eastAsia="宋体" w:hAnsi="Times New Roman" w:cs="Times New Roman"/>
          <w:b/>
          <w:bCs/>
          <w:sz w:val="32"/>
          <w:szCs w:val="32"/>
        </w:rPr>
      </w:pPr>
      <w:r w:rsidRPr="0037658E">
        <w:rPr>
          <w:rFonts w:ascii="Times New Roman" w:eastAsia="宋体" w:hAnsi="Times New Roman" w:cs="Times New Roman"/>
          <w:b/>
          <w:bCs/>
          <w:sz w:val="32"/>
          <w:szCs w:val="32"/>
        </w:rPr>
        <w:t>SEGO</w:t>
      </w:r>
      <w:r w:rsidR="00B26034">
        <w:rPr>
          <w:rFonts w:ascii="Times New Roman" w:eastAsia="宋体" w:hAnsi="Times New Roman" w:cs="Times New Roman"/>
          <w:b/>
          <w:bCs/>
          <w:sz w:val="32"/>
          <w:szCs w:val="32"/>
        </w:rPr>
        <w:t>工业电力用户</w:t>
      </w:r>
      <w:r w:rsidRPr="0037658E">
        <w:rPr>
          <w:rFonts w:ascii="Times New Roman" w:eastAsia="宋体" w:hAnsi="Times New Roman" w:cs="Times New Roman"/>
          <w:b/>
          <w:bCs/>
          <w:sz w:val="32"/>
          <w:szCs w:val="32"/>
        </w:rPr>
        <w:t>价值评级指标</w:t>
      </w:r>
      <w:r w:rsidR="00804FC6">
        <w:rPr>
          <w:rFonts w:ascii="Times New Roman" w:eastAsia="宋体" w:hAnsi="Times New Roman" w:cs="Times New Roman" w:hint="eastAsia"/>
          <w:b/>
          <w:bCs/>
          <w:sz w:val="32"/>
          <w:szCs w:val="32"/>
        </w:rPr>
        <w:t>体系</w:t>
      </w:r>
      <w:r w:rsidR="00707DE1" w:rsidRPr="0037658E">
        <w:rPr>
          <w:rFonts w:ascii="Times New Roman" w:eastAsia="宋体" w:hAnsi="Times New Roman" w:cs="Times New Roman" w:hint="eastAsia"/>
          <w:b/>
          <w:bCs/>
          <w:sz w:val="32"/>
          <w:szCs w:val="32"/>
        </w:rPr>
        <w:t>明细</w:t>
      </w:r>
      <w:r w:rsidR="00B26034">
        <w:rPr>
          <w:rFonts w:ascii="Times New Roman" w:eastAsia="宋体" w:hAnsi="Times New Roman" w:cs="Times New Roman" w:hint="eastAsia"/>
          <w:b/>
          <w:bCs/>
          <w:sz w:val="32"/>
          <w:szCs w:val="32"/>
        </w:rPr>
        <w:t>表</w:t>
      </w:r>
    </w:p>
    <w:p w14:paraId="73F8D3A3" w14:textId="77777777" w:rsidR="00F33423" w:rsidRDefault="00F33423"/>
    <w:tbl>
      <w:tblPr>
        <w:tblW w:w="5000" w:type="pct"/>
        <w:jc w:val="center"/>
        <w:tblBorders>
          <w:top w:val="single" w:sz="12" w:space="0" w:color="auto"/>
          <w:bottom w:val="single" w:sz="12" w:space="0" w:color="auto"/>
        </w:tblBorders>
        <w:tblLook w:val="04A0" w:firstRow="1" w:lastRow="0" w:firstColumn="1" w:lastColumn="0" w:noHBand="0" w:noVBand="1"/>
      </w:tblPr>
      <w:tblGrid>
        <w:gridCol w:w="1557"/>
        <w:gridCol w:w="6561"/>
        <w:gridCol w:w="952"/>
      </w:tblGrid>
      <w:tr w:rsidR="00611A3D" w:rsidRPr="004F168C" w14:paraId="39D23C8D" w14:textId="77777777" w:rsidTr="00076320">
        <w:trPr>
          <w:jc w:val="center"/>
        </w:trPr>
        <w:tc>
          <w:tcPr>
            <w:tcW w:w="858" w:type="pct"/>
            <w:tcBorders>
              <w:top w:val="single" w:sz="12" w:space="0" w:color="auto"/>
              <w:bottom w:val="single" w:sz="8" w:space="0" w:color="auto"/>
            </w:tcBorders>
            <w:shd w:val="clear" w:color="auto" w:fill="auto"/>
            <w:vAlign w:val="center"/>
          </w:tcPr>
          <w:p w14:paraId="0D1B1FF4"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指标名称</w:t>
            </w:r>
          </w:p>
        </w:tc>
        <w:tc>
          <w:tcPr>
            <w:tcW w:w="3617" w:type="pct"/>
            <w:tcBorders>
              <w:top w:val="single" w:sz="12" w:space="0" w:color="auto"/>
              <w:bottom w:val="single" w:sz="8" w:space="0" w:color="auto"/>
            </w:tcBorders>
            <w:shd w:val="clear" w:color="auto" w:fill="auto"/>
            <w:vAlign w:val="center"/>
          </w:tcPr>
          <w:p w14:paraId="64A58624"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指标释义</w:t>
            </w:r>
          </w:p>
        </w:tc>
        <w:tc>
          <w:tcPr>
            <w:tcW w:w="525" w:type="pct"/>
            <w:tcBorders>
              <w:top w:val="single" w:sz="12" w:space="0" w:color="auto"/>
              <w:bottom w:val="single" w:sz="8" w:space="0" w:color="auto"/>
            </w:tcBorders>
            <w:shd w:val="clear" w:color="auto" w:fill="auto"/>
            <w:vAlign w:val="center"/>
          </w:tcPr>
          <w:p w14:paraId="3D17FD41"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指标</w:t>
            </w:r>
          </w:p>
          <w:p w14:paraId="5C5B68D9"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类型</w:t>
            </w:r>
          </w:p>
        </w:tc>
      </w:tr>
      <w:tr w:rsidR="00611A3D" w:rsidRPr="004F168C" w14:paraId="3D6ABCDE" w14:textId="77777777" w:rsidTr="00076320">
        <w:trPr>
          <w:jc w:val="center"/>
        </w:trPr>
        <w:tc>
          <w:tcPr>
            <w:tcW w:w="858" w:type="pct"/>
            <w:tcBorders>
              <w:top w:val="single" w:sz="8" w:space="0" w:color="auto"/>
              <w:bottom w:val="nil"/>
            </w:tcBorders>
            <w:shd w:val="clear" w:color="auto" w:fill="auto"/>
            <w:vAlign w:val="center"/>
          </w:tcPr>
          <w:p w14:paraId="5169C064" w14:textId="228283F1"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账户状态</w:t>
            </w:r>
            <w:r w:rsidR="00A037D1">
              <w:rPr>
                <w:rFonts w:ascii="Times New Roman" w:eastAsia="宋体" w:hAnsi="Times New Roman" w:cs="Times New Roman" w:hint="eastAsia"/>
                <w:szCs w:val="21"/>
              </w:rPr>
              <w:t>S</w:t>
            </w:r>
            <w:r w:rsidR="00A037D1">
              <w:rPr>
                <w:rFonts w:ascii="Times New Roman" w:eastAsia="宋体" w:hAnsi="Times New Roman" w:cs="Times New Roman"/>
                <w:szCs w:val="21"/>
              </w:rPr>
              <w:t>1</w:t>
            </w:r>
          </w:p>
        </w:tc>
        <w:tc>
          <w:tcPr>
            <w:tcW w:w="3617" w:type="pct"/>
            <w:tcBorders>
              <w:top w:val="single" w:sz="8" w:space="0" w:color="auto"/>
              <w:bottom w:val="nil"/>
            </w:tcBorders>
            <w:shd w:val="clear" w:color="auto" w:fill="auto"/>
            <w:vAlign w:val="center"/>
          </w:tcPr>
          <w:p w14:paraId="6106ADFE" w14:textId="01753CA2" w:rsidR="00611A3D" w:rsidRPr="004F168C" w:rsidRDefault="005B1A9B"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根据</w:t>
            </w:r>
            <w:r w:rsidR="00B26034">
              <w:rPr>
                <w:rFonts w:ascii="Times New Roman" w:eastAsia="宋体" w:hAnsi="Times New Roman" w:cs="Times New Roman" w:hint="eastAsia"/>
                <w:szCs w:val="21"/>
              </w:rPr>
              <w:t>工业电力用户</w:t>
            </w:r>
            <w:r w:rsidR="00611A3D" w:rsidRPr="004F168C">
              <w:rPr>
                <w:rFonts w:ascii="Times New Roman" w:eastAsia="宋体" w:hAnsi="Times New Roman" w:cs="Times New Roman" w:hint="eastAsia"/>
                <w:szCs w:val="21"/>
              </w:rPr>
              <w:t>履行供用电合同情况、缴费信用等</w:t>
            </w:r>
            <w:r>
              <w:rPr>
                <w:rFonts w:ascii="Times New Roman" w:eastAsia="宋体" w:hAnsi="Times New Roman" w:cs="Times New Roman" w:hint="eastAsia"/>
                <w:szCs w:val="21"/>
              </w:rPr>
              <w:t>用电行为</w:t>
            </w:r>
            <w:r w:rsidR="00611A3D" w:rsidRPr="004F168C">
              <w:rPr>
                <w:rFonts w:ascii="Times New Roman" w:eastAsia="宋体" w:hAnsi="Times New Roman" w:cs="Times New Roman" w:hint="eastAsia"/>
                <w:szCs w:val="21"/>
              </w:rPr>
              <w:t>因素，</w:t>
            </w:r>
            <w:r w:rsidRPr="005B1A9B">
              <w:rPr>
                <w:rFonts w:ascii="Times New Roman" w:eastAsia="宋体" w:hAnsi="Times New Roman" w:cs="Times New Roman" w:hint="eastAsia"/>
                <w:szCs w:val="21"/>
              </w:rPr>
              <w:t>分为运行，销户，暂停三种情况。</w:t>
            </w:r>
          </w:p>
        </w:tc>
        <w:tc>
          <w:tcPr>
            <w:tcW w:w="525" w:type="pct"/>
            <w:tcBorders>
              <w:top w:val="single" w:sz="8" w:space="0" w:color="auto"/>
              <w:bottom w:val="nil"/>
            </w:tcBorders>
            <w:shd w:val="clear" w:color="auto" w:fill="auto"/>
            <w:vAlign w:val="center"/>
          </w:tcPr>
          <w:p w14:paraId="584DD82B"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2B985390" w14:textId="77777777" w:rsidTr="00076320">
        <w:trPr>
          <w:jc w:val="center"/>
        </w:trPr>
        <w:tc>
          <w:tcPr>
            <w:tcW w:w="858" w:type="pct"/>
            <w:tcBorders>
              <w:top w:val="nil"/>
              <w:bottom w:val="nil"/>
            </w:tcBorders>
            <w:shd w:val="clear" w:color="auto" w:fill="auto"/>
            <w:vAlign w:val="center"/>
          </w:tcPr>
          <w:p w14:paraId="42DC62EB" w14:textId="6D050EEF"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设备可靠性</w:t>
            </w:r>
            <w:r w:rsidR="00A037D1">
              <w:rPr>
                <w:rFonts w:ascii="Times New Roman" w:eastAsia="宋体" w:hAnsi="Times New Roman" w:cs="Times New Roman" w:hint="eastAsia"/>
                <w:szCs w:val="21"/>
              </w:rPr>
              <w:t>S</w:t>
            </w:r>
            <w:r w:rsidR="00A037D1">
              <w:rPr>
                <w:rFonts w:ascii="Times New Roman" w:eastAsia="宋体" w:hAnsi="Times New Roman" w:cs="Times New Roman"/>
                <w:szCs w:val="21"/>
              </w:rPr>
              <w:t>2</w:t>
            </w:r>
          </w:p>
        </w:tc>
        <w:tc>
          <w:tcPr>
            <w:tcW w:w="3617" w:type="pct"/>
            <w:tcBorders>
              <w:top w:val="nil"/>
              <w:bottom w:val="nil"/>
            </w:tcBorders>
            <w:shd w:val="clear" w:color="auto" w:fill="auto"/>
            <w:vAlign w:val="center"/>
          </w:tcPr>
          <w:p w14:paraId="1BCBBC25"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szCs w:val="21"/>
              </w:rPr>
              <w:t>结合</w:t>
            </w:r>
            <w:r w:rsidRPr="004F168C">
              <w:rPr>
                <w:rFonts w:ascii="Times New Roman" w:eastAsia="宋体" w:hAnsi="Times New Roman" w:cs="Times New Roman" w:hint="eastAsia"/>
                <w:szCs w:val="21"/>
              </w:rPr>
              <w:t>主要设备服役年限、品牌及型号等产品信息综合评定。</w:t>
            </w:r>
          </w:p>
        </w:tc>
        <w:tc>
          <w:tcPr>
            <w:tcW w:w="525" w:type="pct"/>
            <w:tcBorders>
              <w:top w:val="nil"/>
              <w:bottom w:val="nil"/>
            </w:tcBorders>
            <w:shd w:val="clear" w:color="auto" w:fill="auto"/>
            <w:vAlign w:val="center"/>
          </w:tcPr>
          <w:p w14:paraId="71FDAB0F"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047E93A2" w14:textId="77777777" w:rsidTr="00076320">
        <w:trPr>
          <w:jc w:val="center"/>
        </w:trPr>
        <w:tc>
          <w:tcPr>
            <w:tcW w:w="858" w:type="pct"/>
            <w:tcBorders>
              <w:top w:val="nil"/>
              <w:bottom w:val="nil"/>
            </w:tcBorders>
            <w:shd w:val="clear" w:color="auto" w:fill="auto"/>
            <w:vAlign w:val="center"/>
          </w:tcPr>
          <w:p w14:paraId="0DCA918F" w14:textId="7F1E204E"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安全管理水平</w:t>
            </w:r>
            <w:r w:rsidR="00A037D1">
              <w:rPr>
                <w:rFonts w:ascii="Times New Roman" w:eastAsia="宋体" w:hAnsi="Times New Roman" w:cs="Times New Roman" w:hint="eastAsia"/>
                <w:szCs w:val="21"/>
              </w:rPr>
              <w:t>S</w:t>
            </w:r>
            <w:r w:rsidR="00A037D1">
              <w:rPr>
                <w:rFonts w:ascii="Times New Roman" w:eastAsia="宋体" w:hAnsi="Times New Roman" w:cs="Times New Roman"/>
                <w:szCs w:val="21"/>
              </w:rPr>
              <w:t>3</w:t>
            </w:r>
          </w:p>
        </w:tc>
        <w:tc>
          <w:tcPr>
            <w:tcW w:w="3617" w:type="pct"/>
            <w:tcBorders>
              <w:top w:val="nil"/>
              <w:bottom w:val="nil"/>
            </w:tcBorders>
            <w:shd w:val="clear" w:color="auto" w:fill="auto"/>
            <w:vAlign w:val="center"/>
          </w:tcPr>
          <w:p w14:paraId="2F3ED10C" w14:textId="4452F7BC" w:rsidR="00611A3D" w:rsidRPr="004F168C" w:rsidRDefault="005B1A9B" w:rsidP="00F920D0">
            <w:pPr>
              <w:spacing w:line="240" w:lineRule="atLeast"/>
              <w:jc w:val="center"/>
              <w:rPr>
                <w:rFonts w:ascii="Times New Roman" w:eastAsia="宋体" w:hAnsi="Times New Roman" w:cs="Times New Roman"/>
                <w:szCs w:val="21"/>
              </w:rPr>
            </w:pPr>
            <w:r w:rsidRPr="005B1A9B">
              <w:rPr>
                <w:rFonts w:ascii="Times New Roman" w:eastAsia="宋体" w:hAnsi="Times New Roman" w:cs="Times New Roman" w:hint="eastAsia"/>
                <w:szCs w:val="21"/>
              </w:rPr>
              <w:t>综合操作人员专业水平、制度健全及执行状况、电力设备运行环境等因素进行判定。</w:t>
            </w:r>
          </w:p>
        </w:tc>
        <w:tc>
          <w:tcPr>
            <w:tcW w:w="525" w:type="pct"/>
            <w:tcBorders>
              <w:top w:val="nil"/>
              <w:bottom w:val="nil"/>
            </w:tcBorders>
            <w:shd w:val="clear" w:color="auto" w:fill="auto"/>
            <w:vAlign w:val="center"/>
          </w:tcPr>
          <w:p w14:paraId="17E698BF"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3F25064C" w14:textId="77777777" w:rsidTr="00076320">
        <w:trPr>
          <w:jc w:val="center"/>
        </w:trPr>
        <w:tc>
          <w:tcPr>
            <w:tcW w:w="858" w:type="pct"/>
            <w:tcBorders>
              <w:top w:val="nil"/>
              <w:bottom w:val="nil"/>
            </w:tcBorders>
            <w:shd w:val="clear" w:color="auto" w:fill="auto"/>
            <w:vAlign w:val="center"/>
          </w:tcPr>
          <w:p w14:paraId="06F262D4" w14:textId="0B2FBC7C"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负载评价</w:t>
            </w:r>
            <w:r w:rsidR="00A037D1">
              <w:rPr>
                <w:rFonts w:ascii="Times New Roman" w:eastAsia="宋体" w:hAnsi="Times New Roman" w:cs="Times New Roman" w:hint="eastAsia"/>
                <w:szCs w:val="21"/>
              </w:rPr>
              <w:t>S</w:t>
            </w:r>
            <w:r w:rsidR="00A037D1">
              <w:rPr>
                <w:rFonts w:ascii="Times New Roman" w:eastAsia="宋体" w:hAnsi="Times New Roman" w:cs="Times New Roman"/>
                <w:szCs w:val="21"/>
              </w:rPr>
              <w:t>4</w:t>
            </w:r>
          </w:p>
        </w:tc>
        <w:tc>
          <w:tcPr>
            <w:tcW w:w="3617" w:type="pct"/>
            <w:tcBorders>
              <w:top w:val="nil"/>
              <w:bottom w:val="nil"/>
            </w:tcBorders>
            <w:shd w:val="clear" w:color="auto" w:fill="auto"/>
            <w:vAlign w:val="center"/>
          </w:tcPr>
          <w:p w14:paraId="1BC6229A"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通过连续</w:t>
            </w:r>
            <w:r w:rsidRPr="004F168C">
              <w:rPr>
                <w:rFonts w:ascii="Times New Roman" w:eastAsia="宋体" w:hAnsi="Times New Roman" w:cs="Times New Roman"/>
                <w:szCs w:val="21"/>
              </w:rPr>
              <w:t>3</w:t>
            </w:r>
            <w:r w:rsidRPr="004F168C">
              <w:rPr>
                <w:rFonts w:ascii="Times New Roman" w:eastAsia="宋体" w:hAnsi="Times New Roman" w:cs="Times New Roman" w:hint="eastAsia"/>
                <w:szCs w:val="21"/>
              </w:rPr>
              <w:t>个时间点负载率超过阈值情况予以评定：轻载（</w:t>
            </w:r>
            <w:r w:rsidRPr="004F168C">
              <w:rPr>
                <w:rFonts w:ascii="Times New Roman" w:eastAsia="宋体" w:hAnsi="Times New Roman" w:cs="Times New Roman" w:hint="eastAsia"/>
                <w:szCs w:val="21"/>
              </w:rPr>
              <w:t>0</w:t>
            </w:r>
            <w:r w:rsidRPr="004F168C">
              <w:rPr>
                <w:rFonts w:ascii="Times New Roman" w:eastAsia="宋体" w:hAnsi="Times New Roman" w:cs="Times New Roman"/>
                <w:szCs w:val="21"/>
              </w:rPr>
              <w:t>,30%]</w:t>
            </w:r>
            <w:r w:rsidRPr="004F168C">
              <w:rPr>
                <w:rFonts w:ascii="Times New Roman" w:eastAsia="宋体" w:hAnsi="Times New Roman" w:cs="Times New Roman" w:hint="eastAsia"/>
                <w:szCs w:val="21"/>
              </w:rPr>
              <w:t>、正常（</w:t>
            </w:r>
            <w:r w:rsidRPr="004F168C">
              <w:rPr>
                <w:rFonts w:ascii="Times New Roman" w:eastAsia="宋体" w:hAnsi="Times New Roman" w:cs="Times New Roman"/>
                <w:szCs w:val="21"/>
              </w:rPr>
              <w:t>30</w:t>
            </w:r>
            <w:r w:rsidRPr="004F168C">
              <w:rPr>
                <w:rFonts w:ascii="Times New Roman" w:eastAsia="宋体" w:hAnsi="Times New Roman" w:cs="Times New Roman" w:hint="eastAsia"/>
                <w:szCs w:val="21"/>
              </w:rPr>
              <w:t>%</w:t>
            </w:r>
            <w:r w:rsidRPr="004F168C">
              <w:rPr>
                <w:rFonts w:ascii="Times New Roman" w:eastAsia="宋体" w:hAnsi="Times New Roman" w:cs="Times New Roman"/>
                <w:szCs w:val="21"/>
              </w:rPr>
              <w:t>,80%]</w:t>
            </w:r>
            <w:r w:rsidRPr="004F168C">
              <w:rPr>
                <w:rFonts w:ascii="Times New Roman" w:eastAsia="宋体" w:hAnsi="Times New Roman" w:cs="Times New Roman" w:hint="eastAsia"/>
                <w:szCs w:val="21"/>
              </w:rPr>
              <w:t>、重载（</w:t>
            </w:r>
            <w:r w:rsidRPr="004F168C">
              <w:rPr>
                <w:rFonts w:ascii="Times New Roman" w:eastAsia="宋体" w:hAnsi="Times New Roman" w:cs="Times New Roman"/>
                <w:szCs w:val="21"/>
              </w:rPr>
              <w:t>80,100%]</w:t>
            </w:r>
            <w:r w:rsidRPr="004F168C">
              <w:rPr>
                <w:rFonts w:ascii="Times New Roman" w:eastAsia="宋体" w:hAnsi="Times New Roman" w:cs="Times New Roman" w:hint="eastAsia"/>
                <w:szCs w:val="21"/>
              </w:rPr>
              <w:t>，过载（</w:t>
            </w:r>
            <w:r w:rsidRPr="004F168C">
              <w:rPr>
                <w:rFonts w:ascii="Times New Roman" w:eastAsia="宋体" w:hAnsi="Times New Roman" w:cs="Times New Roman" w:hint="eastAsia"/>
                <w:szCs w:val="21"/>
              </w:rPr>
              <w:t>1</w:t>
            </w:r>
            <w:r w:rsidRPr="004F168C">
              <w:rPr>
                <w:rFonts w:ascii="Times New Roman" w:eastAsia="宋体" w:hAnsi="Times New Roman" w:cs="Times New Roman"/>
                <w:szCs w:val="21"/>
              </w:rPr>
              <w:t>00</w:t>
            </w:r>
            <w:r w:rsidRPr="004F168C">
              <w:rPr>
                <w:rFonts w:ascii="Times New Roman" w:eastAsia="宋体" w:hAnsi="Times New Roman" w:cs="Times New Roman" w:hint="eastAsia"/>
                <w:szCs w:val="21"/>
              </w:rPr>
              <w:t>%</w:t>
            </w:r>
            <w:r w:rsidRPr="004F168C">
              <w:rPr>
                <w:rFonts w:ascii="Times New Roman" w:eastAsia="宋体" w:hAnsi="Times New Roman" w:cs="Times New Roman"/>
                <w:szCs w:val="21"/>
              </w:rPr>
              <w:t>,</w:t>
            </w:r>
            <w:r w:rsidRPr="004F168C">
              <w:rPr>
                <w:rFonts w:ascii="Times New Roman" w:eastAsia="宋体" w:hAnsi="Times New Roman" w:cs="Times New Roman" w:hint="eastAsia"/>
                <w:szCs w:val="21"/>
              </w:rPr>
              <w:t>+</w:t>
            </w:r>
            <w:r w:rsidRPr="004F168C">
              <w:rPr>
                <w:rFonts w:ascii="Times New Roman" w:eastAsia="宋体" w:hAnsi="Times New Roman" w:cs="Times New Roman"/>
                <w:szCs w:val="21"/>
              </w:rPr>
              <w:t>ꝏ]</w:t>
            </w:r>
            <w:r w:rsidRPr="004F168C">
              <w:rPr>
                <w:rFonts w:ascii="Times New Roman" w:eastAsia="宋体" w:hAnsi="Times New Roman" w:cs="Times New Roman" w:hint="eastAsia"/>
                <w:szCs w:val="21"/>
              </w:rPr>
              <w:t>，该指标按照不同评定等级赋予相应分值。其中，负载率</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视在功率</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报装容量。</w:t>
            </w:r>
          </w:p>
        </w:tc>
        <w:tc>
          <w:tcPr>
            <w:tcW w:w="525" w:type="pct"/>
            <w:tcBorders>
              <w:top w:val="nil"/>
              <w:bottom w:val="nil"/>
            </w:tcBorders>
            <w:shd w:val="clear" w:color="auto" w:fill="auto"/>
            <w:vAlign w:val="center"/>
          </w:tcPr>
          <w:p w14:paraId="1B2A41A5"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A037D1" w:rsidRPr="004F168C" w14:paraId="3C0AF919" w14:textId="77777777" w:rsidTr="00076320">
        <w:trPr>
          <w:jc w:val="center"/>
        </w:trPr>
        <w:tc>
          <w:tcPr>
            <w:tcW w:w="858" w:type="pct"/>
            <w:tcBorders>
              <w:top w:val="nil"/>
              <w:bottom w:val="nil"/>
            </w:tcBorders>
            <w:shd w:val="clear" w:color="auto" w:fill="auto"/>
            <w:vAlign w:val="center"/>
          </w:tcPr>
          <w:p w14:paraId="229643F1" w14:textId="35CEF723" w:rsidR="00A037D1" w:rsidRPr="004F168C" w:rsidRDefault="00A037D1"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电量波动异常评价</w:t>
            </w:r>
            <w:r w:rsidR="008E2018">
              <w:rPr>
                <w:rFonts w:ascii="Times New Roman" w:eastAsia="宋体" w:hAnsi="Times New Roman" w:cs="Times New Roman" w:hint="eastAsia"/>
                <w:szCs w:val="21"/>
              </w:rPr>
              <w:t>S</w:t>
            </w:r>
            <w:r w:rsidR="008E2018">
              <w:rPr>
                <w:rFonts w:ascii="Times New Roman" w:eastAsia="宋体" w:hAnsi="Times New Roman" w:cs="Times New Roman"/>
                <w:szCs w:val="21"/>
              </w:rPr>
              <w:t>5</w:t>
            </w:r>
          </w:p>
        </w:tc>
        <w:tc>
          <w:tcPr>
            <w:tcW w:w="3617" w:type="pct"/>
            <w:tcBorders>
              <w:top w:val="nil"/>
              <w:bottom w:val="nil"/>
            </w:tcBorders>
            <w:shd w:val="clear" w:color="auto" w:fill="auto"/>
            <w:vAlign w:val="center"/>
          </w:tcPr>
          <w:p w14:paraId="79B938A8" w14:textId="5E4BE10D" w:rsidR="00A037D1" w:rsidRPr="004F168C" w:rsidRDefault="008E2018"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统计期内</w:t>
            </w:r>
            <w:r w:rsidR="00FF4F71">
              <w:rPr>
                <w:rFonts w:ascii="Times New Roman" w:eastAsia="宋体" w:hAnsi="Times New Roman" w:cs="Times New Roman" w:hint="eastAsia"/>
                <w:szCs w:val="21"/>
              </w:rPr>
              <w:t>评价</w:t>
            </w:r>
            <w:r w:rsidR="00B26034">
              <w:rPr>
                <w:rFonts w:ascii="Times New Roman" w:eastAsia="宋体" w:hAnsi="Times New Roman" w:cs="Times New Roman" w:hint="eastAsia"/>
                <w:szCs w:val="21"/>
              </w:rPr>
              <w:t>工业电力用户</w:t>
            </w:r>
            <w:r>
              <w:rPr>
                <w:rFonts w:ascii="Times New Roman" w:eastAsia="宋体" w:hAnsi="Times New Roman" w:cs="Times New Roman" w:hint="eastAsia"/>
                <w:szCs w:val="21"/>
              </w:rPr>
              <w:t>用电量</w:t>
            </w:r>
            <w:r w:rsidR="00FF4F71">
              <w:rPr>
                <w:rFonts w:ascii="Times New Roman" w:eastAsia="宋体" w:hAnsi="Times New Roman" w:cs="Times New Roman" w:hint="eastAsia"/>
                <w:szCs w:val="21"/>
              </w:rPr>
              <w:t>是否在某一正常范围内波动，若其高于某一波动标准值则评定为异常波动。</w:t>
            </w:r>
          </w:p>
        </w:tc>
        <w:tc>
          <w:tcPr>
            <w:tcW w:w="525" w:type="pct"/>
            <w:tcBorders>
              <w:top w:val="nil"/>
              <w:bottom w:val="nil"/>
            </w:tcBorders>
            <w:shd w:val="clear" w:color="auto" w:fill="auto"/>
            <w:vAlign w:val="center"/>
          </w:tcPr>
          <w:p w14:paraId="51BF8981" w14:textId="592B0B2E" w:rsidR="00A037D1" w:rsidRPr="004F168C" w:rsidRDefault="002923BC"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统计类</w:t>
            </w:r>
          </w:p>
        </w:tc>
      </w:tr>
      <w:tr w:rsidR="00611A3D" w:rsidRPr="004F168C" w14:paraId="331497D6" w14:textId="77777777" w:rsidTr="00076320">
        <w:trPr>
          <w:jc w:val="center"/>
        </w:trPr>
        <w:tc>
          <w:tcPr>
            <w:tcW w:w="858" w:type="pct"/>
            <w:tcBorders>
              <w:top w:val="nil"/>
              <w:bottom w:val="nil"/>
            </w:tcBorders>
            <w:shd w:val="clear" w:color="auto" w:fill="auto"/>
            <w:vAlign w:val="center"/>
          </w:tcPr>
          <w:p w14:paraId="0A6F63A9" w14:textId="03A7715A"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电量突增</w:t>
            </w:r>
            <w:r w:rsidR="00A037D1">
              <w:rPr>
                <w:rFonts w:ascii="Times New Roman" w:eastAsia="宋体" w:hAnsi="Times New Roman" w:cs="Times New Roman" w:hint="eastAsia"/>
                <w:szCs w:val="21"/>
              </w:rPr>
              <w:t>S</w:t>
            </w:r>
            <w:r w:rsidR="00A037D1">
              <w:rPr>
                <w:rFonts w:ascii="Times New Roman" w:eastAsia="宋体" w:hAnsi="Times New Roman" w:cs="Times New Roman"/>
                <w:szCs w:val="21"/>
              </w:rPr>
              <w:t>6</w:t>
            </w:r>
            <w:r w:rsidRPr="004F168C">
              <w:rPr>
                <w:rFonts w:ascii="Times New Roman" w:eastAsia="宋体" w:hAnsi="Times New Roman" w:cs="Times New Roman" w:hint="eastAsia"/>
                <w:szCs w:val="21"/>
              </w:rPr>
              <w:t>/</w:t>
            </w:r>
            <w:r w:rsidRPr="004F168C">
              <w:rPr>
                <w:rFonts w:ascii="Times New Roman" w:eastAsia="宋体" w:hAnsi="Times New Roman" w:cs="Times New Roman"/>
                <w:szCs w:val="21"/>
              </w:rPr>
              <w:t>减</w:t>
            </w:r>
            <w:r w:rsidR="00A037D1">
              <w:rPr>
                <w:rFonts w:ascii="Times New Roman" w:eastAsia="宋体" w:hAnsi="Times New Roman" w:cs="Times New Roman" w:hint="eastAsia"/>
                <w:szCs w:val="21"/>
              </w:rPr>
              <w:t>S</w:t>
            </w:r>
            <w:r w:rsidR="00A037D1">
              <w:rPr>
                <w:rFonts w:ascii="Times New Roman" w:eastAsia="宋体" w:hAnsi="Times New Roman" w:cs="Times New Roman"/>
                <w:szCs w:val="21"/>
              </w:rPr>
              <w:t>7</w:t>
            </w:r>
            <w:r w:rsidRPr="004F168C">
              <w:rPr>
                <w:rFonts w:ascii="Times New Roman" w:eastAsia="宋体" w:hAnsi="Times New Roman" w:cs="Times New Roman" w:hint="eastAsia"/>
                <w:szCs w:val="21"/>
              </w:rPr>
              <w:t>波动异常指数</w:t>
            </w:r>
          </w:p>
        </w:tc>
        <w:tc>
          <w:tcPr>
            <w:tcW w:w="3617" w:type="pct"/>
            <w:tcBorders>
              <w:top w:val="nil"/>
              <w:bottom w:val="nil"/>
            </w:tcBorders>
            <w:shd w:val="clear" w:color="auto" w:fill="auto"/>
            <w:vAlign w:val="center"/>
          </w:tcPr>
          <w:p w14:paraId="6E4EF9E6" w14:textId="0F8C6A36"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当</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的用电量波动率超过某一正常范围外时称为电量波动异常，包括突增及突减两种情况，该指标由电量波动异常</w:t>
            </w:r>
            <w:r w:rsidR="008E2018">
              <w:rPr>
                <w:rFonts w:ascii="Times New Roman" w:eastAsia="宋体" w:hAnsi="Times New Roman" w:cs="Times New Roman" w:hint="eastAsia"/>
                <w:szCs w:val="21"/>
              </w:rPr>
              <w:t>频次</w:t>
            </w:r>
            <w:r w:rsidRPr="004F168C">
              <w:rPr>
                <w:rFonts w:ascii="Times New Roman" w:eastAsia="宋体" w:hAnsi="Times New Roman" w:cs="Times New Roman" w:hint="eastAsia"/>
                <w:szCs w:val="21"/>
              </w:rPr>
              <w:t>与异常波动率共同决定，其中电量波动率</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本月电量</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上月电量</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本月电量</w:t>
            </w:r>
          </w:p>
        </w:tc>
        <w:tc>
          <w:tcPr>
            <w:tcW w:w="525" w:type="pct"/>
            <w:tcBorders>
              <w:top w:val="nil"/>
              <w:bottom w:val="nil"/>
            </w:tcBorders>
            <w:shd w:val="clear" w:color="auto" w:fill="auto"/>
            <w:vAlign w:val="center"/>
          </w:tcPr>
          <w:p w14:paraId="66D5CC89"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2B6A47AF" w14:textId="77777777" w:rsidTr="00076320">
        <w:trPr>
          <w:jc w:val="center"/>
        </w:trPr>
        <w:tc>
          <w:tcPr>
            <w:tcW w:w="858" w:type="pct"/>
            <w:tcBorders>
              <w:top w:val="nil"/>
              <w:bottom w:val="nil"/>
            </w:tcBorders>
            <w:shd w:val="clear" w:color="auto" w:fill="auto"/>
            <w:vAlign w:val="center"/>
          </w:tcPr>
          <w:p w14:paraId="3811AE15" w14:textId="204E4D2C"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用电负荷率</w:t>
            </w:r>
            <w:r w:rsidR="00A037D1">
              <w:rPr>
                <w:rFonts w:ascii="Times New Roman" w:eastAsia="宋体" w:hAnsi="Times New Roman" w:cs="Times New Roman" w:hint="eastAsia"/>
                <w:szCs w:val="21"/>
              </w:rPr>
              <w:t>E</w:t>
            </w:r>
            <w:r w:rsidR="00A037D1">
              <w:rPr>
                <w:rFonts w:ascii="Times New Roman" w:eastAsia="宋体" w:hAnsi="Times New Roman" w:cs="Times New Roman"/>
                <w:szCs w:val="21"/>
              </w:rPr>
              <w:t>1</w:t>
            </w:r>
          </w:p>
        </w:tc>
        <w:tc>
          <w:tcPr>
            <w:tcW w:w="3617" w:type="pct"/>
            <w:tcBorders>
              <w:top w:val="nil"/>
              <w:bottom w:val="nil"/>
            </w:tcBorders>
            <w:shd w:val="clear" w:color="auto" w:fill="auto"/>
            <w:vAlign w:val="center"/>
          </w:tcPr>
          <w:p w14:paraId="19501E18" w14:textId="7F3B4CA0"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描述</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日常用电行为特征，影响供电公司输配电线路和变压器等供电设备效能的利用水平以及供电网络中的电能损耗：</w:t>
            </w:r>
          </w:p>
          <w:p w14:paraId="319F369E"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本期平均有功负荷</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本期最高有功负荷</w:t>
            </w:r>
          </w:p>
        </w:tc>
        <w:tc>
          <w:tcPr>
            <w:tcW w:w="525" w:type="pct"/>
            <w:tcBorders>
              <w:top w:val="nil"/>
              <w:bottom w:val="nil"/>
            </w:tcBorders>
            <w:shd w:val="clear" w:color="auto" w:fill="auto"/>
            <w:vAlign w:val="center"/>
          </w:tcPr>
          <w:p w14:paraId="43FF1235"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26E9D83E" w14:textId="77777777" w:rsidTr="00076320">
        <w:trPr>
          <w:jc w:val="center"/>
        </w:trPr>
        <w:tc>
          <w:tcPr>
            <w:tcW w:w="858" w:type="pct"/>
            <w:tcBorders>
              <w:top w:val="nil"/>
              <w:bottom w:val="nil"/>
            </w:tcBorders>
            <w:shd w:val="clear" w:color="auto" w:fill="auto"/>
            <w:vAlign w:val="center"/>
          </w:tcPr>
          <w:p w14:paraId="274CC28B" w14:textId="6DA493E4"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功率因数</w:t>
            </w:r>
            <w:r w:rsidR="00A037D1">
              <w:rPr>
                <w:rFonts w:ascii="Times New Roman" w:eastAsia="宋体" w:hAnsi="Times New Roman" w:cs="Times New Roman" w:hint="eastAsia"/>
                <w:szCs w:val="21"/>
              </w:rPr>
              <w:t>E</w:t>
            </w:r>
            <w:r w:rsidR="00A037D1">
              <w:rPr>
                <w:rFonts w:ascii="Times New Roman" w:eastAsia="宋体" w:hAnsi="Times New Roman" w:cs="Times New Roman"/>
                <w:szCs w:val="21"/>
              </w:rPr>
              <w:t>2</w:t>
            </w:r>
          </w:p>
        </w:tc>
        <w:tc>
          <w:tcPr>
            <w:tcW w:w="3617" w:type="pct"/>
            <w:tcBorders>
              <w:top w:val="nil"/>
              <w:bottom w:val="nil"/>
            </w:tcBorders>
            <w:shd w:val="clear" w:color="auto" w:fill="auto"/>
            <w:vAlign w:val="center"/>
          </w:tcPr>
          <w:p w14:paraId="46D00A4A" w14:textId="55C7A0D4"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测度电气设备运行效率的关键技术参数，不同地区、用电类型与电压等级的</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执行不同的功率因数标准。</w:t>
            </w:r>
          </w:p>
        </w:tc>
        <w:tc>
          <w:tcPr>
            <w:tcW w:w="525" w:type="pct"/>
            <w:tcBorders>
              <w:top w:val="nil"/>
              <w:bottom w:val="nil"/>
            </w:tcBorders>
            <w:shd w:val="clear" w:color="auto" w:fill="auto"/>
            <w:vAlign w:val="center"/>
          </w:tcPr>
          <w:p w14:paraId="362790C6"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681F9A72" w14:textId="77777777" w:rsidTr="00076320">
        <w:trPr>
          <w:jc w:val="center"/>
        </w:trPr>
        <w:tc>
          <w:tcPr>
            <w:tcW w:w="858" w:type="pct"/>
            <w:tcBorders>
              <w:top w:val="nil"/>
              <w:bottom w:val="nil"/>
            </w:tcBorders>
            <w:shd w:val="clear" w:color="auto" w:fill="auto"/>
            <w:vAlign w:val="center"/>
          </w:tcPr>
          <w:p w14:paraId="741993F8" w14:textId="2D890DD9"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本期用电总量</w:t>
            </w:r>
            <w:r w:rsidR="00A037D1">
              <w:rPr>
                <w:rFonts w:ascii="Times New Roman" w:eastAsia="宋体" w:hAnsi="Times New Roman" w:cs="Times New Roman" w:hint="eastAsia"/>
                <w:szCs w:val="21"/>
              </w:rPr>
              <w:t>E</w:t>
            </w:r>
            <w:r w:rsidR="00A037D1">
              <w:rPr>
                <w:rFonts w:ascii="Times New Roman" w:eastAsia="宋体" w:hAnsi="Times New Roman" w:cs="Times New Roman"/>
                <w:szCs w:val="21"/>
              </w:rPr>
              <w:t>3</w:t>
            </w:r>
            <w:r w:rsidR="00B26034">
              <w:rPr>
                <w:rFonts w:ascii="Times New Roman" w:eastAsia="宋体" w:hAnsi="Times New Roman" w:cs="Times New Roman"/>
                <w:szCs w:val="21"/>
              </w:rPr>
              <w:t>/</w:t>
            </w:r>
            <w:r w:rsidR="00B26034" w:rsidRPr="004F168C">
              <w:rPr>
                <w:rFonts w:ascii="Times New Roman" w:eastAsia="宋体" w:hAnsi="Times New Roman" w:cs="Times New Roman" w:hint="eastAsia"/>
                <w:szCs w:val="21"/>
              </w:rPr>
              <w:t>电费总额</w:t>
            </w:r>
            <w:r w:rsidR="00B26034">
              <w:rPr>
                <w:rFonts w:ascii="Times New Roman" w:eastAsia="宋体" w:hAnsi="Times New Roman" w:cs="Times New Roman" w:hint="eastAsia"/>
                <w:szCs w:val="21"/>
              </w:rPr>
              <w:t>E</w:t>
            </w:r>
            <w:r w:rsidR="00B26034">
              <w:rPr>
                <w:rFonts w:ascii="Times New Roman" w:eastAsia="宋体" w:hAnsi="Times New Roman" w:cs="Times New Roman"/>
                <w:szCs w:val="21"/>
              </w:rPr>
              <w:t>4</w:t>
            </w:r>
          </w:p>
        </w:tc>
        <w:tc>
          <w:tcPr>
            <w:tcW w:w="3617" w:type="pct"/>
            <w:tcBorders>
              <w:top w:val="nil"/>
              <w:bottom w:val="nil"/>
            </w:tcBorders>
            <w:shd w:val="clear" w:color="auto" w:fill="auto"/>
            <w:vAlign w:val="center"/>
          </w:tcPr>
          <w:p w14:paraId="144E7BF2" w14:textId="1E8AB51F" w:rsidR="00611A3D" w:rsidRPr="004F168C" w:rsidRDefault="00B26034" w:rsidP="00B26034">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反映统计期内工业电力用户的电能消费情况，包括</w:t>
            </w:r>
            <w:r w:rsidR="00611A3D" w:rsidRPr="004F168C">
              <w:rPr>
                <w:rFonts w:ascii="Times New Roman" w:eastAsia="宋体" w:hAnsi="Times New Roman" w:cs="Times New Roman" w:hint="eastAsia"/>
                <w:szCs w:val="21"/>
              </w:rPr>
              <w:t>统计期内</w:t>
            </w:r>
            <w:r>
              <w:rPr>
                <w:rFonts w:ascii="Times New Roman" w:eastAsia="宋体" w:hAnsi="Times New Roman" w:cs="Times New Roman" w:hint="eastAsia"/>
                <w:szCs w:val="21"/>
              </w:rPr>
              <w:t>电力用户</w:t>
            </w:r>
            <w:r w:rsidR="00611A3D" w:rsidRPr="004F168C">
              <w:rPr>
                <w:rFonts w:ascii="Times New Roman" w:eastAsia="宋体" w:hAnsi="Times New Roman" w:cs="Times New Roman" w:hint="eastAsia"/>
                <w:szCs w:val="21"/>
              </w:rPr>
              <w:t>的用电量总量</w:t>
            </w:r>
            <w:r>
              <w:rPr>
                <w:rFonts w:ascii="Times New Roman" w:eastAsia="宋体" w:hAnsi="Times New Roman" w:cs="Times New Roman" w:hint="eastAsia"/>
                <w:szCs w:val="21"/>
              </w:rPr>
              <w:t>与</w:t>
            </w:r>
            <w:r w:rsidRPr="004F168C">
              <w:rPr>
                <w:rFonts w:ascii="Times New Roman" w:eastAsia="宋体" w:hAnsi="Times New Roman" w:cs="Times New Roman" w:hint="eastAsia"/>
                <w:szCs w:val="21"/>
              </w:rPr>
              <w:t>应缴电费总额</w:t>
            </w:r>
            <w:r w:rsidR="005B1A9B">
              <w:rPr>
                <w:rFonts w:ascii="Times New Roman" w:eastAsia="宋体" w:hAnsi="Times New Roman" w:cs="Times New Roman" w:hint="eastAsia"/>
                <w:szCs w:val="21"/>
              </w:rPr>
              <w:t>，其中</w:t>
            </w:r>
            <w:r w:rsidR="005B1A9B" w:rsidRPr="004F168C">
              <w:rPr>
                <w:rFonts w:ascii="Times New Roman" w:eastAsia="宋体" w:hAnsi="Times New Roman" w:cs="Times New Roman" w:hint="eastAsia"/>
                <w:szCs w:val="21"/>
              </w:rPr>
              <w:t>应缴电费总额</w:t>
            </w:r>
            <w:r w:rsidR="005B1A9B">
              <w:rPr>
                <w:rFonts w:ascii="Times New Roman" w:eastAsia="宋体" w:hAnsi="Times New Roman" w:cs="Times New Roman" w:hint="eastAsia"/>
                <w:szCs w:val="21"/>
              </w:rPr>
              <w:t>包括</w:t>
            </w:r>
            <w:r w:rsidR="005B1A9B" w:rsidRPr="00F667CF">
              <w:rPr>
                <w:rFonts w:ascii="Times New Roman" w:eastAsia="宋体" w:hAnsi="Times New Roman" w:cs="Times New Roman" w:hint="eastAsia"/>
                <w:szCs w:val="21"/>
              </w:rPr>
              <w:t>基本电价、电度电价</w:t>
            </w:r>
            <w:r w:rsidR="005B1A9B">
              <w:rPr>
                <w:rFonts w:ascii="Times New Roman" w:eastAsia="宋体" w:hAnsi="Times New Roman" w:cs="Times New Roman" w:hint="eastAsia"/>
                <w:szCs w:val="21"/>
              </w:rPr>
              <w:t>、</w:t>
            </w:r>
            <w:r w:rsidR="005B1A9B" w:rsidRPr="00F667CF">
              <w:rPr>
                <w:rFonts w:ascii="Times New Roman" w:eastAsia="宋体" w:hAnsi="Times New Roman" w:cs="Times New Roman" w:hint="eastAsia"/>
                <w:szCs w:val="21"/>
              </w:rPr>
              <w:t>功率因数调整电费</w:t>
            </w:r>
            <w:r w:rsidR="005B1A9B">
              <w:rPr>
                <w:rFonts w:ascii="Times New Roman" w:eastAsia="宋体" w:hAnsi="Times New Roman" w:cs="Times New Roman" w:hint="eastAsia"/>
                <w:szCs w:val="21"/>
              </w:rPr>
              <w:t>、</w:t>
            </w:r>
            <w:r w:rsidR="005B1A9B" w:rsidRPr="00305EDF">
              <w:rPr>
                <w:rFonts w:ascii="Times New Roman" w:eastAsia="宋体" w:hAnsi="Times New Roman" w:cs="Times New Roman"/>
                <w:szCs w:val="21"/>
              </w:rPr>
              <w:t>力率调整电费</w:t>
            </w:r>
            <w:r w:rsidR="005B1A9B" w:rsidRPr="00305EDF">
              <w:rPr>
                <w:rFonts w:ascii="Times New Roman" w:eastAsia="宋体" w:hAnsi="Times New Roman" w:cs="Times New Roman" w:hint="eastAsia"/>
                <w:szCs w:val="21"/>
              </w:rPr>
              <w:t>、</w:t>
            </w:r>
            <w:r w:rsidR="005B1A9B" w:rsidRPr="005128F2">
              <w:rPr>
                <w:rFonts w:ascii="Times New Roman" w:eastAsia="宋体" w:hAnsi="Times New Roman" w:cs="Times New Roman"/>
                <w:szCs w:val="21"/>
              </w:rPr>
              <w:t>重大水利</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还贷基金</w:t>
            </w:r>
            <w:r w:rsidR="005B1A9B">
              <w:rPr>
                <w:rFonts w:ascii="Times New Roman" w:eastAsia="宋体" w:hAnsi="Times New Roman" w:cs="Times New Roman" w:hint="eastAsia"/>
                <w:szCs w:val="21"/>
              </w:rPr>
              <w:t>、</w:t>
            </w:r>
            <w:r w:rsidR="005B1A9B" w:rsidRPr="005128F2">
              <w:rPr>
                <w:rFonts w:ascii="Times New Roman" w:eastAsia="宋体" w:hAnsi="Times New Roman" w:cs="Times New Roman"/>
                <w:szCs w:val="21"/>
              </w:rPr>
              <w:t>水库移民</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地方水库移民</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可再生能源</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城市附加</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城市公共事业</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来煤加工</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差别电价</w:t>
            </w:r>
            <w:r w:rsidR="005B1A9B">
              <w:rPr>
                <w:rFonts w:ascii="Times New Roman" w:eastAsia="宋体" w:hAnsi="Times New Roman" w:cs="Times New Roman" w:hint="eastAsia"/>
                <w:szCs w:val="21"/>
              </w:rPr>
              <w:t>费、</w:t>
            </w:r>
            <w:r w:rsidR="005B1A9B" w:rsidRPr="005128F2">
              <w:rPr>
                <w:rFonts w:ascii="Times New Roman" w:eastAsia="宋体" w:hAnsi="Times New Roman" w:cs="Times New Roman"/>
                <w:szCs w:val="21"/>
              </w:rPr>
              <w:t>燃气燃油附加</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价格调节基金</w:t>
            </w:r>
            <w:r w:rsidR="005B1A9B">
              <w:rPr>
                <w:rFonts w:ascii="Times New Roman" w:eastAsia="宋体" w:hAnsi="Times New Roman" w:cs="Times New Roman" w:hint="eastAsia"/>
                <w:szCs w:val="21"/>
              </w:rPr>
              <w:t>、</w:t>
            </w:r>
            <w:r w:rsidR="005B1A9B" w:rsidRPr="005128F2">
              <w:rPr>
                <w:rFonts w:ascii="Times New Roman" w:eastAsia="宋体" w:hAnsi="Times New Roman" w:cs="Times New Roman"/>
                <w:szCs w:val="21"/>
              </w:rPr>
              <w:t>电铁还贷</w:t>
            </w:r>
            <w:r w:rsidR="005B1A9B">
              <w:rPr>
                <w:rFonts w:ascii="Times New Roman" w:eastAsia="宋体" w:hAnsi="Times New Roman" w:cs="Times New Roman" w:hint="eastAsia"/>
                <w:szCs w:val="21"/>
              </w:rPr>
              <w:t>电费、</w:t>
            </w:r>
            <w:r w:rsidR="005B1A9B" w:rsidRPr="005128F2">
              <w:rPr>
                <w:rFonts w:ascii="Times New Roman" w:eastAsia="宋体" w:hAnsi="Times New Roman" w:cs="Times New Roman"/>
                <w:szCs w:val="21"/>
              </w:rPr>
              <w:t>农村低压维护</w:t>
            </w:r>
            <w:r w:rsidR="005B1A9B">
              <w:rPr>
                <w:rFonts w:ascii="Times New Roman" w:eastAsia="宋体" w:hAnsi="Times New Roman" w:cs="Times New Roman" w:hint="eastAsia"/>
                <w:szCs w:val="21"/>
              </w:rPr>
              <w:t>电费等</w:t>
            </w:r>
            <w:r w:rsidR="005B1A9B" w:rsidRPr="004F168C">
              <w:rPr>
                <w:rFonts w:ascii="Times New Roman" w:eastAsia="宋体" w:hAnsi="Times New Roman" w:cs="Times New Roman" w:hint="eastAsia"/>
                <w:szCs w:val="21"/>
              </w:rPr>
              <w:t>。</w:t>
            </w:r>
          </w:p>
        </w:tc>
        <w:tc>
          <w:tcPr>
            <w:tcW w:w="525" w:type="pct"/>
            <w:tcBorders>
              <w:top w:val="nil"/>
              <w:bottom w:val="nil"/>
            </w:tcBorders>
            <w:shd w:val="clear" w:color="auto" w:fill="auto"/>
            <w:vAlign w:val="center"/>
          </w:tcPr>
          <w:p w14:paraId="21F5A74B"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01758937" w14:textId="77777777" w:rsidTr="00076320">
        <w:trPr>
          <w:jc w:val="center"/>
        </w:trPr>
        <w:tc>
          <w:tcPr>
            <w:tcW w:w="858" w:type="pct"/>
            <w:tcBorders>
              <w:top w:val="nil"/>
              <w:bottom w:val="nil"/>
            </w:tcBorders>
            <w:shd w:val="clear" w:color="auto" w:fill="auto"/>
            <w:vAlign w:val="center"/>
          </w:tcPr>
          <w:p w14:paraId="7AEE89DD" w14:textId="155AAFFB"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用电需求扩充</w:t>
            </w:r>
            <w:r w:rsidR="00A037D1">
              <w:rPr>
                <w:rFonts w:ascii="Times New Roman" w:eastAsia="宋体" w:hAnsi="Times New Roman" w:cs="Times New Roman" w:hint="eastAsia"/>
                <w:szCs w:val="21"/>
              </w:rPr>
              <w:t>E</w:t>
            </w:r>
            <w:r w:rsidR="00A037D1">
              <w:rPr>
                <w:rFonts w:ascii="Times New Roman" w:eastAsia="宋体" w:hAnsi="Times New Roman" w:cs="Times New Roman"/>
                <w:szCs w:val="21"/>
              </w:rPr>
              <w:t>5</w:t>
            </w:r>
          </w:p>
        </w:tc>
        <w:tc>
          <w:tcPr>
            <w:tcW w:w="3617" w:type="pct"/>
            <w:tcBorders>
              <w:top w:val="nil"/>
              <w:bottom w:val="nil"/>
            </w:tcBorders>
            <w:shd w:val="clear" w:color="auto" w:fill="auto"/>
            <w:vAlign w:val="center"/>
          </w:tcPr>
          <w:p w14:paraId="2C2BCAB0" w14:textId="406971C5"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统计期内</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提交转类、增容、分户与改压等变更用电需求的申请，该指标按需求类型（减容、持平与扩充）分别赋予不同分值。</w:t>
            </w:r>
          </w:p>
        </w:tc>
        <w:tc>
          <w:tcPr>
            <w:tcW w:w="525" w:type="pct"/>
            <w:tcBorders>
              <w:top w:val="nil"/>
              <w:bottom w:val="nil"/>
            </w:tcBorders>
            <w:shd w:val="clear" w:color="auto" w:fill="auto"/>
            <w:vAlign w:val="center"/>
          </w:tcPr>
          <w:p w14:paraId="270B8EE4"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5A31524A" w14:textId="77777777" w:rsidTr="00076320">
        <w:trPr>
          <w:jc w:val="center"/>
        </w:trPr>
        <w:tc>
          <w:tcPr>
            <w:tcW w:w="858" w:type="pct"/>
            <w:tcBorders>
              <w:top w:val="nil"/>
              <w:bottom w:val="nil"/>
            </w:tcBorders>
            <w:shd w:val="clear" w:color="auto" w:fill="auto"/>
            <w:vAlign w:val="center"/>
          </w:tcPr>
          <w:p w14:paraId="151DA1EE" w14:textId="781E1A58"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本期电量</w:t>
            </w:r>
            <w:r w:rsidR="001C59A7">
              <w:rPr>
                <w:rFonts w:ascii="Times New Roman" w:eastAsia="宋体" w:hAnsi="Times New Roman" w:cs="Times New Roman" w:hint="eastAsia"/>
                <w:szCs w:val="21"/>
              </w:rPr>
              <w:t>E</w:t>
            </w:r>
            <w:r w:rsidR="001C59A7">
              <w:rPr>
                <w:rFonts w:ascii="Times New Roman" w:eastAsia="宋体" w:hAnsi="Times New Roman" w:cs="Times New Roman"/>
                <w:szCs w:val="21"/>
              </w:rPr>
              <w:t>6/</w:t>
            </w:r>
            <w:r w:rsidR="001C59A7" w:rsidRPr="004F168C">
              <w:rPr>
                <w:rFonts w:ascii="Times New Roman" w:eastAsia="宋体" w:hAnsi="Times New Roman" w:cs="Times New Roman" w:hint="eastAsia"/>
                <w:szCs w:val="21"/>
              </w:rPr>
              <w:t>电费</w:t>
            </w:r>
            <w:r w:rsidRPr="004F168C">
              <w:rPr>
                <w:rFonts w:ascii="Times New Roman" w:eastAsia="宋体" w:hAnsi="Times New Roman" w:cs="Times New Roman" w:hint="eastAsia"/>
                <w:szCs w:val="21"/>
              </w:rPr>
              <w:t>同比增长率</w:t>
            </w:r>
            <w:r w:rsidR="001C59A7">
              <w:rPr>
                <w:rFonts w:ascii="Times New Roman" w:eastAsia="宋体" w:hAnsi="Times New Roman" w:cs="Times New Roman"/>
                <w:szCs w:val="21"/>
              </w:rPr>
              <w:t>/</w:t>
            </w:r>
            <w:r w:rsidR="001C59A7">
              <w:rPr>
                <w:rFonts w:ascii="Times New Roman" w:eastAsia="宋体" w:hAnsi="Times New Roman" w:cs="Times New Roman" w:hint="eastAsia"/>
                <w:szCs w:val="21"/>
              </w:rPr>
              <w:t>E</w:t>
            </w:r>
            <w:r w:rsidR="001C59A7">
              <w:rPr>
                <w:rFonts w:ascii="Times New Roman" w:eastAsia="宋体" w:hAnsi="Times New Roman" w:cs="Times New Roman"/>
                <w:szCs w:val="21"/>
              </w:rPr>
              <w:t>7</w:t>
            </w:r>
          </w:p>
        </w:tc>
        <w:tc>
          <w:tcPr>
            <w:tcW w:w="3617" w:type="pct"/>
            <w:tcBorders>
              <w:top w:val="nil"/>
              <w:bottom w:val="nil"/>
            </w:tcBorders>
            <w:shd w:val="clear" w:color="auto" w:fill="auto"/>
            <w:vAlign w:val="center"/>
          </w:tcPr>
          <w:p w14:paraId="249546C6" w14:textId="77777777" w:rsidR="001C59A7" w:rsidRDefault="00611A3D" w:rsidP="001C59A7">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体现</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于统计期内用电量</w:t>
            </w:r>
            <w:r w:rsidR="001C59A7">
              <w:rPr>
                <w:rFonts w:ascii="Times New Roman" w:eastAsia="宋体" w:hAnsi="Times New Roman" w:cs="Times New Roman" w:hint="eastAsia"/>
                <w:szCs w:val="21"/>
              </w:rPr>
              <w:t>（或电费应缴总额）</w:t>
            </w:r>
            <w:r w:rsidRPr="004F168C">
              <w:rPr>
                <w:rFonts w:ascii="Times New Roman" w:eastAsia="宋体" w:hAnsi="Times New Roman" w:cs="Times New Roman" w:hint="eastAsia"/>
                <w:szCs w:val="21"/>
              </w:rPr>
              <w:t>的增长或降低情况：（本期用电量</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上一统计期用电量）</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上一统计期用电量</w:t>
            </w:r>
            <w:r w:rsidR="001C59A7">
              <w:rPr>
                <w:rFonts w:ascii="Times New Roman" w:eastAsia="宋体" w:hAnsi="Times New Roman" w:cs="Times New Roman" w:hint="eastAsia"/>
                <w:szCs w:val="21"/>
              </w:rPr>
              <w:t>；</w:t>
            </w:r>
          </w:p>
          <w:p w14:paraId="3CCAE533" w14:textId="7985FF04" w:rsidR="00611A3D" w:rsidRPr="004F168C" w:rsidRDefault="001C59A7" w:rsidP="001C59A7">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（本期应缴电费总额</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上一统计期应缴电费总额）</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上一统计期应缴电费总额</w:t>
            </w:r>
          </w:p>
        </w:tc>
        <w:tc>
          <w:tcPr>
            <w:tcW w:w="525" w:type="pct"/>
            <w:tcBorders>
              <w:top w:val="nil"/>
              <w:bottom w:val="nil"/>
            </w:tcBorders>
            <w:shd w:val="clear" w:color="auto" w:fill="auto"/>
            <w:vAlign w:val="center"/>
          </w:tcPr>
          <w:p w14:paraId="4EC7987A"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22EEA6CF" w14:textId="77777777" w:rsidTr="00076320">
        <w:trPr>
          <w:jc w:val="center"/>
        </w:trPr>
        <w:tc>
          <w:tcPr>
            <w:tcW w:w="858" w:type="pct"/>
            <w:tcBorders>
              <w:top w:val="nil"/>
              <w:bottom w:val="nil"/>
            </w:tcBorders>
            <w:shd w:val="clear" w:color="auto" w:fill="auto"/>
            <w:vAlign w:val="center"/>
          </w:tcPr>
          <w:p w14:paraId="0A588FA9" w14:textId="77777777" w:rsidR="002923B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用户满意度</w:t>
            </w:r>
          </w:p>
          <w:p w14:paraId="1A31F7A9" w14:textId="06F89AD5"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评级</w:t>
            </w:r>
            <w:r w:rsidR="00A037D1">
              <w:rPr>
                <w:rFonts w:ascii="Times New Roman" w:eastAsia="宋体" w:hAnsi="Times New Roman" w:cs="Times New Roman" w:hint="eastAsia"/>
                <w:szCs w:val="21"/>
              </w:rPr>
              <w:t>E</w:t>
            </w:r>
            <w:r w:rsidR="00A037D1">
              <w:rPr>
                <w:rFonts w:ascii="Times New Roman" w:eastAsia="宋体" w:hAnsi="Times New Roman" w:cs="Times New Roman"/>
                <w:szCs w:val="21"/>
              </w:rPr>
              <w:t>8</w:t>
            </w:r>
          </w:p>
        </w:tc>
        <w:tc>
          <w:tcPr>
            <w:tcW w:w="3617" w:type="pct"/>
            <w:tcBorders>
              <w:top w:val="nil"/>
              <w:bottom w:val="nil"/>
            </w:tcBorders>
            <w:shd w:val="clear" w:color="auto" w:fill="auto"/>
            <w:vAlign w:val="center"/>
          </w:tcPr>
          <w:p w14:paraId="09F6BFED"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营销管理信息系统通过实时采集与分析</w:t>
            </w:r>
            <w:r w:rsidRPr="004F168C">
              <w:rPr>
                <w:rFonts w:ascii="Times New Roman" w:eastAsia="宋体" w:hAnsi="Times New Roman" w:cs="Times New Roman" w:hint="eastAsia"/>
                <w:szCs w:val="21"/>
              </w:rPr>
              <w:t>95598</w:t>
            </w:r>
            <w:r w:rsidRPr="004F168C">
              <w:rPr>
                <w:rFonts w:ascii="Times New Roman" w:eastAsia="宋体" w:hAnsi="Times New Roman" w:cs="Times New Roman" w:hint="eastAsia"/>
                <w:szCs w:val="21"/>
              </w:rPr>
              <w:t>电话投诉与建议来电数据，供电服务公众号及客户端的用户投诉建议端口数据，以及供电公司官网的客户满意度调查问卷数据，对各用电企业用户进行服务满意度调查与评级。</w:t>
            </w:r>
          </w:p>
        </w:tc>
        <w:tc>
          <w:tcPr>
            <w:tcW w:w="525" w:type="pct"/>
            <w:tcBorders>
              <w:top w:val="nil"/>
              <w:bottom w:val="nil"/>
            </w:tcBorders>
            <w:shd w:val="clear" w:color="auto" w:fill="auto"/>
            <w:vAlign w:val="center"/>
          </w:tcPr>
          <w:p w14:paraId="5A2D9D0B"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A037D1" w:rsidRPr="004F168C" w14:paraId="3A2E3E90" w14:textId="77777777" w:rsidTr="00076320">
        <w:trPr>
          <w:jc w:val="center"/>
        </w:trPr>
        <w:tc>
          <w:tcPr>
            <w:tcW w:w="858" w:type="pct"/>
            <w:tcBorders>
              <w:top w:val="nil"/>
              <w:bottom w:val="nil"/>
            </w:tcBorders>
            <w:shd w:val="clear" w:color="auto" w:fill="auto"/>
            <w:vAlign w:val="center"/>
          </w:tcPr>
          <w:p w14:paraId="4438A48A" w14:textId="77777777" w:rsidR="00F51EEF" w:rsidRDefault="00A037D1" w:rsidP="00422C15">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用户履规</w:t>
            </w:r>
          </w:p>
          <w:p w14:paraId="2FC2BEDD" w14:textId="384B84F6" w:rsidR="00A037D1" w:rsidRPr="004F168C" w:rsidRDefault="00A037D1" w:rsidP="00422C15">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信誉等级</w:t>
            </w:r>
            <w:r>
              <w:rPr>
                <w:rFonts w:ascii="Times New Roman" w:eastAsia="宋体" w:hAnsi="Times New Roman" w:cs="Times New Roman" w:hint="eastAsia"/>
                <w:szCs w:val="21"/>
              </w:rPr>
              <w:t>C</w:t>
            </w:r>
            <w:r>
              <w:rPr>
                <w:rFonts w:ascii="Times New Roman" w:eastAsia="宋体" w:hAnsi="Times New Roman" w:cs="Times New Roman"/>
                <w:szCs w:val="21"/>
              </w:rPr>
              <w:t>1</w:t>
            </w:r>
          </w:p>
        </w:tc>
        <w:tc>
          <w:tcPr>
            <w:tcW w:w="3617" w:type="pct"/>
            <w:tcBorders>
              <w:top w:val="nil"/>
              <w:bottom w:val="nil"/>
            </w:tcBorders>
            <w:shd w:val="clear" w:color="auto" w:fill="auto"/>
            <w:vAlign w:val="center"/>
          </w:tcPr>
          <w:p w14:paraId="5D20E253" w14:textId="77777777" w:rsidR="00A037D1" w:rsidRPr="004F168C" w:rsidRDefault="00A037D1" w:rsidP="00422C15">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由近两年的违约类型、违约次数、违约金额等参数决定。</w:t>
            </w:r>
          </w:p>
        </w:tc>
        <w:tc>
          <w:tcPr>
            <w:tcW w:w="525" w:type="pct"/>
            <w:tcBorders>
              <w:top w:val="nil"/>
              <w:bottom w:val="nil"/>
            </w:tcBorders>
            <w:shd w:val="clear" w:color="auto" w:fill="auto"/>
            <w:vAlign w:val="center"/>
          </w:tcPr>
          <w:p w14:paraId="51977347" w14:textId="77777777" w:rsidR="00A037D1" w:rsidRPr="004F168C" w:rsidRDefault="00A037D1" w:rsidP="00422C15">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A037D1" w:rsidRPr="004F168C" w14:paraId="7C6CE96E" w14:textId="77777777" w:rsidTr="00076320">
        <w:trPr>
          <w:jc w:val="center"/>
        </w:trPr>
        <w:tc>
          <w:tcPr>
            <w:tcW w:w="858" w:type="pct"/>
            <w:tcBorders>
              <w:top w:val="nil"/>
              <w:bottom w:val="nil"/>
            </w:tcBorders>
            <w:shd w:val="clear" w:color="auto" w:fill="auto"/>
            <w:vAlign w:val="center"/>
          </w:tcPr>
          <w:p w14:paraId="49395A57" w14:textId="77777777" w:rsidR="00F51EEF" w:rsidRDefault="00A037D1" w:rsidP="00656B8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用电检查</w:t>
            </w:r>
          </w:p>
          <w:p w14:paraId="0F186874" w14:textId="4CD602E1" w:rsidR="00A037D1" w:rsidRPr="004F168C" w:rsidRDefault="00A037D1" w:rsidP="00656B8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配合情况</w:t>
            </w:r>
            <w:r>
              <w:rPr>
                <w:rFonts w:ascii="Times New Roman" w:eastAsia="宋体" w:hAnsi="Times New Roman" w:cs="Times New Roman" w:hint="eastAsia"/>
                <w:szCs w:val="21"/>
              </w:rPr>
              <w:t>C</w:t>
            </w:r>
            <w:r>
              <w:rPr>
                <w:rFonts w:ascii="Times New Roman" w:eastAsia="宋体" w:hAnsi="Times New Roman" w:cs="Times New Roman"/>
                <w:szCs w:val="21"/>
              </w:rPr>
              <w:t>2</w:t>
            </w:r>
          </w:p>
        </w:tc>
        <w:tc>
          <w:tcPr>
            <w:tcW w:w="3617" w:type="pct"/>
            <w:tcBorders>
              <w:top w:val="nil"/>
              <w:bottom w:val="nil"/>
            </w:tcBorders>
            <w:shd w:val="clear" w:color="auto" w:fill="auto"/>
            <w:vAlign w:val="center"/>
          </w:tcPr>
          <w:p w14:paraId="366BE4CF" w14:textId="259D6AF8" w:rsidR="00A037D1" w:rsidRPr="004F168C" w:rsidRDefault="00A037D1" w:rsidP="00656B8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反映</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在供电企业按照供用电合同中的相关规定，依据一定规则、规范标准或事例经验对其进行安全、隐患、计量、质量、营销及设施性能等方面的管理、检测与评估工作中的支持与配合程度。</w:t>
            </w:r>
          </w:p>
        </w:tc>
        <w:tc>
          <w:tcPr>
            <w:tcW w:w="525" w:type="pct"/>
            <w:tcBorders>
              <w:top w:val="nil"/>
              <w:bottom w:val="nil"/>
            </w:tcBorders>
            <w:shd w:val="clear" w:color="auto" w:fill="auto"/>
            <w:vAlign w:val="center"/>
          </w:tcPr>
          <w:p w14:paraId="6435BBA7" w14:textId="77777777" w:rsidR="00A037D1" w:rsidRPr="004F168C" w:rsidRDefault="00A037D1" w:rsidP="00656B8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0F30A303" w14:textId="77777777" w:rsidTr="00076320">
        <w:trPr>
          <w:jc w:val="center"/>
        </w:trPr>
        <w:tc>
          <w:tcPr>
            <w:tcW w:w="858" w:type="pct"/>
            <w:tcBorders>
              <w:top w:val="nil"/>
              <w:bottom w:val="nil"/>
            </w:tcBorders>
            <w:shd w:val="clear" w:color="auto" w:fill="auto"/>
            <w:vAlign w:val="center"/>
          </w:tcPr>
          <w:p w14:paraId="25DDE63A" w14:textId="77777777" w:rsidR="00F51EEF"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本期电费</w:t>
            </w:r>
          </w:p>
          <w:p w14:paraId="388217AF" w14:textId="6476350B"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回收率</w:t>
            </w:r>
            <w:r w:rsidR="00A037D1">
              <w:rPr>
                <w:rFonts w:ascii="Times New Roman" w:eastAsia="宋体" w:hAnsi="Times New Roman" w:cs="Times New Roman" w:hint="eastAsia"/>
                <w:szCs w:val="21"/>
              </w:rPr>
              <w:t>C</w:t>
            </w:r>
            <w:r w:rsidR="00A037D1">
              <w:rPr>
                <w:rFonts w:ascii="Times New Roman" w:eastAsia="宋体" w:hAnsi="Times New Roman" w:cs="Times New Roman"/>
                <w:szCs w:val="21"/>
              </w:rPr>
              <w:t>3</w:t>
            </w:r>
          </w:p>
        </w:tc>
        <w:tc>
          <w:tcPr>
            <w:tcW w:w="3617" w:type="pct"/>
            <w:tcBorders>
              <w:top w:val="nil"/>
              <w:bottom w:val="nil"/>
            </w:tcBorders>
            <w:shd w:val="clear" w:color="auto" w:fill="auto"/>
            <w:vAlign w:val="center"/>
          </w:tcPr>
          <w:p w14:paraId="71D36F29" w14:textId="3CDEE80F"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直接体现</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的缴费信誉水平，决定供电企业回收电费的风险程度：本期实收电费总额</w:t>
            </w:r>
            <w:r w:rsidRPr="004F168C">
              <w:rPr>
                <w:rFonts w:ascii="Times New Roman" w:eastAsia="宋体" w:hAnsi="Times New Roman" w:cs="Times New Roman" w:hint="eastAsia"/>
                <w:szCs w:val="21"/>
              </w:rPr>
              <w:t>/</w:t>
            </w:r>
            <w:r w:rsidRPr="004F168C">
              <w:rPr>
                <w:rFonts w:ascii="Times New Roman" w:eastAsia="宋体" w:hAnsi="Times New Roman" w:cs="Times New Roman" w:hint="eastAsia"/>
                <w:szCs w:val="21"/>
              </w:rPr>
              <w:t>本期应收电费总额</w:t>
            </w:r>
          </w:p>
        </w:tc>
        <w:tc>
          <w:tcPr>
            <w:tcW w:w="525" w:type="pct"/>
            <w:tcBorders>
              <w:top w:val="nil"/>
              <w:bottom w:val="nil"/>
            </w:tcBorders>
            <w:shd w:val="clear" w:color="auto" w:fill="auto"/>
            <w:vAlign w:val="center"/>
          </w:tcPr>
          <w:p w14:paraId="575C68E3"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37107224" w14:textId="77777777" w:rsidTr="00076320">
        <w:trPr>
          <w:jc w:val="center"/>
        </w:trPr>
        <w:tc>
          <w:tcPr>
            <w:tcW w:w="858" w:type="pct"/>
            <w:tcBorders>
              <w:top w:val="nil"/>
              <w:bottom w:val="nil"/>
            </w:tcBorders>
            <w:shd w:val="clear" w:color="auto" w:fill="auto"/>
            <w:vAlign w:val="center"/>
          </w:tcPr>
          <w:p w14:paraId="2BC94A38" w14:textId="77777777" w:rsidR="00F51EEF"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本期缴费结</w:t>
            </w:r>
          </w:p>
          <w:p w14:paraId="57EA55B2" w14:textId="4C0D0D6F"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lastRenderedPageBreak/>
              <w:t>清天数</w:t>
            </w:r>
            <w:r w:rsidR="00A037D1">
              <w:rPr>
                <w:rFonts w:ascii="Times New Roman" w:eastAsia="宋体" w:hAnsi="Times New Roman" w:cs="Times New Roman" w:hint="eastAsia"/>
                <w:szCs w:val="21"/>
              </w:rPr>
              <w:t>C</w:t>
            </w:r>
            <w:r w:rsidR="00A037D1">
              <w:rPr>
                <w:rFonts w:ascii="Times New Roman" w:eastAsia="宋体" w:hAnsi="Times New Roman" w:cs="Times New Roman"/>
                <w:szCs w:val="21"/>
              </w:rPr>
              <w:t>4</w:t>
            </w:r>
          </w:p>
        </w:tc>
        <w:tc>
          <w:tcPr>
            <w:tcW w:w="3617" w:type="pct"/>
            <w:tcBorders>
              <w:top w:val="nil"/>
              <w:bottom w:val="nil"/>
            </w:tcBorders>
            <w:shd w:val="clear" w:color="auto" w:fill="auto"/>
            <w:vAlign w:val="center"/>
          </w:tcPr>
          <w:p w14:paraId="53E682ED" w14:textId="65F8090B" w:rsidR="00611A3D" w:rsidRPr="004F168C" w:rsidRDefault="001C59A7"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工业</w:t>
            </w:r>
            <w:r w:rsidRPr="004F168C">
              <w:rPr>
                <w:rFonts w:ascii="Times New Roman" w:eastAsia="宋体" w:hAnsi="Times New Roman" w:cs="Times New Roman" w:hint="eastAsia"/>
                <w:szCs w:val="21"/>
              </w:rPr>
              <w:t>电力用户</w:t>
            </w:r>
            <w:r>
              <w:rPr>
                <w:rFonts w:ascii="Times New Roman" w:eastAsia="宋体" w:hAnsi="Times New Roman" w:cs="Times New Roman" w:hint="eastAsia"/>
                <w:szCs w:val="21"/>
              </w:rPr>
              <w:t>于缴费日后执行</w:t>
            </w:r>
            <w:r w:rsidRPr="004F168C">
              <w:rPr>
                <w:rFonts w:ascii="Times New Roman" w:eastAsia="宋体" w:hAnsi="Times New Roman" w:cs="Times New Roman" w:hint="eastAsia"/>
                <w:szCs w:val="21"/>
              </w:rPr>
              <w:t>缴费</w:t>
            </w:r>
            <w:r>
              <w:rPr>
                <w:rFonts w:ascii="Times New Roman" w:eastAsia="宋体" w:hAnsi="Times New Roman" w:cs="Times New Roman" w:hint="eastAsia"/>
                <w:szCs w:val="21"/>
              </w:rPr>
              <w:t>操作的天数，</w:t>
            </w:r>
            <w:r w:rsidR="00611A3D" w:rsidRPr="004F168C">
              <w:rPr>
                <w:rFonts w:ascii="Times New Roman" w:eastAsia="宋体" w:hAnsi="Times New Roman" w:cs="Times New Roman" w:hint="eastAsia"/>
                <w:szCs w:val="21"/>
              </w:rPr>
              <w:t>反映</w:t>
            </w:r>
            <w:r w:rsidR="00B26034">
              <w:rPr>
                <w:rFonts w:ascii="Times New Roman" w:eastAsia="宋体" w:hAnsi="Times New Roman" w:cs="Times New Roman" w:hint="eastAsia"/>
                <w:szCs w:val="21"/>
              </w:rPr>
              <w:t>工业电力用户</w:t>
            </w:r>
            <w:r w:rsidR="00611A3D" w:rsidRPr="004F168C">
              <w:rPr>
                <w:rFonts w:ascii="Times New Roman" w:eastAsia="宋体" w:hAnsi="Times New Roman" w:cs="Times New Roman" w:hint="eastAsia"/>
                <w:szCs w:val="21"/>
              </w:rPr>
              <w:t>缴</w:t>
            </w:r>
            <w:r w:rsidR="00611A3D" w:rsidRPr="004F168C">
              <w:rPr>
                <w:rFonts w:ascii="Times New Roman" w:eastAsia="宋体" w:hAnsi="Times New Roman" w:cs="Times New Roman" w:hint="eastAsia"/>
                <w:szCs w:val="21"/>
              </w:rPr>
              <w:lastRenderedPageBreak/>
              <w:t>费履规的积极程度，体现其缴费时效性信用。</w:t>
            </w:r>
          </w:p>
        </w:tc>
        <w:tc>
          <w:tcPr>
            <w:tcW w:w="525" w:type="pct"/>
            <w:tcBorders>
              <w:top w:val="nil"/>
              <w:bottom w:val="nil"/>
            </w:tcBorders>
            <w:shd w:val="clear" w:color="auto" w:fill="auto"/>
            <w:vAlign w:val="center"/>
          </w:tcPr>
          <w:p w14:paraId="4D39A234"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lastRenderedPageBreak/>
              <w:t>统计类</w:t>
            </w:r>
          </w:p>
        </w:tc>
      </w:tr>
      <w:tr w:rsidR="00611A3D" w:rsidRPr="004F168C" w14:paraId="1B1BAC61" w14:textId="77777777" w:rsidTr="00076320">
        <w:trPr>
          <w:jc w:val="center"/>
        </w:trPr>
        <w:tc>
          <w:tcPr>
            <w:tcW w:w="858" w:type="pct"/>
            <w:tcBorders>
              <w:top w:val="nil"/>
              <w:bottom w:val="nil"/>
            </w:tcBorders>
            <w:shd w:val="clear" w:color="auto" w:fill="auto"/>
            <w:vAlign w:val="center"/>
          </w:tcPr>
          <w:p w14:paraId="0CF7B356" w14:textId="2396E60C"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催收等级</w:t>
            </w:r>
            <w:r w:rsidR="00A037D1">
              <w:rPr>
                <w:rFonts w:ascii="Times New Roman" w:eastAsia="宋体" w:hAnsi="Times New Roman" w:cs="Times New Roman" w:hint="eastAsia"/>
                <w:szCs w:val="21"/>
              </w:rPr>
              <w:t>C</w:t>
            </w:r>
            <w:r w:rsidR="00A037D1">
              <w:rPr>
                <w:rFonts w:ascii="Times New Roman" w:eastAsia="宋体" w:hAnsi="Times New Roman" w:cs="Times New Roman"/>
                <w:szCs w:val="21"/>
              </w:rPr>
              <w:t>5</w:t>
            </w:r>
          </w:p>
        </w:tc>
        <w:tc>
          <w:tcPr>
            <w:tcW w:w="3617" w:type="pct"/>
            <w:tcBorders>
              <w:top w:val="nil"/>
              <w:bottom w:val="nil"/>
            </w:tcBorders>
            <w:shd w:val="clear" w:color="auto" w:fill="auto"/>
            <w:vAlign w:val="center"/>
          </w:tcPr>
          <w:p w14:paraId="15A79F12"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由本期累积欠费总额（含电费、违约金及各种附加费合计）、本期累积欠费期数共同决定，未进入催收范围的则显示“正常缴费”。</w:t>
            </w:r>
          </w:p>
        </w:tc>
        <w:tc>
          <w:tcPr>
            <w:tcW w:w="525" w:type="pct"/>
            <w:tcBorders>
              <w:top w:val="nil"/>
              <w:bottom w:val="nil"/>
            </w:tcBorders>
            <w:shd w:val="clear" w:color="auto" w:fill="auto"/>
            <w:vAlign w:val="center"/>
          </w:tcPr>
          <w:p w14:paraId="5A8E2B30"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A037D1" w:rsidRPr="004F168C" w14:paraId="40B290F5" w14:textId="77777777" w:rsidTr="00076320">
        <w:trPr>
          <w:jc w:val="center"/>
        </w:trPr>
        <w:tc>
          <w:tcPr>
            <w:tcW w:w="858" w:type="pct"/>
            <w:tcBorders>
              <w:top w:val="nil"/>
              <w:bottom w:val="nil"/>
            </w:tcBorders>
            <w:shd w:val="clear" w:color="auto" w:fill="auto"/>
            <w:vAlign w:val="center"/>
          </w:tcPr>
          <w:p w14:paraId="5644AAB0" w14:textId="5461B18D" w:rsidR="00A037D1" w:rsidRPr="004F168C" w:rsidRDefault="007604CC"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单位产值能源消耗强度</w:t>
            </w:r>
            <w:r w:rsidR="00A037D1">
              <w:rPr>
                <w:rFonts w:ascii="Times New Roman" w:eastAsia="宋体" w:hAnsi="Times New Roman" w:cs="Times New Roman" w:hint="eastAsia"/>
                <w:szCs w:val="21"/>
              </w:rPr>
              <w:t>C</w:t>
            </w:r>
            <w:r w:rsidR="00A037D1">
              <w:rPr>
                <w:rFonts w:ascii="Times New Roman" w:eastAsia="宋体" w:hAnsi="Times New Roman" w:cs="Times New Roman"/>
                <w:szCs w:val="21"/>
              </w:rPr>
              <w:t>6</w:t>
            </w:r>
          </w:p>
        </w:tc>
        <w:tc>
          <w:tcPr>
            <w:tcW w:w="3617" w:type="pct"/>
            <w:tcBorders>
              <w:top w:val="nil"/>
              <w:bottom w:val="nil"/>
            </w:tcBorders>
            <w:shd w:val="clear" w:color="auto" w:fill="auto"/>
            <w:vAlign w:val="center"/>
          </w:tcPr>
          <w:p w14:paraId="23550C56" w14:textId="387C5DA6" w:rsidR="00FF4F71" w:rsidRPr="004F168C" w:rsidRDefault="00FF4F71" w:rsidP="00B26034">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反映统计期内</w:t>
            </w:r>
            <w:r w:rsidR="00B26034">
              <w:rPr>
                <w:rFonts w:ascii="Times New Roman" w:eastAsia="宋体" w:hAnsi="Times New Roman" w:cs="Times New Roman" w:hint="eastAsia"/>
                <w:szCs w:val="21"/>
              </w:rPr>
              <w:t>工业电力用户</w:t>
            </w:r>
            <w:r w:rsidR="007604CC" w:rsidRPr="004F168C">
              <w:rPr>
                <w:rFonts w:ascii="Times New Roman" w:eastAsia="宋体" w:hAnsi="Times New Roman" w:cs="Times New Roman" w:hint="eastAsia"/>
                <w:szCs w:val="21"/>
              </w:rPr>
              <w:t>单位产值所消耗</w:t>
            </w:r>
            <w:r w:rsidR="007604CC">
              <w:rPr>
                <w:rFonts w:ascii="Times New Roman" w:eastAsia="宋体" w:hAnsi="Times New Roman" w:cs="Times New Roman" w:hint="eastAsia"/>
                <w:szCs w:val="21"/>
              </w:rPr>
              <w:t>能源水平：</w:t>
            </w:r>
            <w:r w:rsidR="007604CC" w:rsidRPr="007604CC">
              <w:rPr>
                <w:rFonts w:ascii="Times New Roman" w:eastAsia="宋体" w:hAnsi="Times New Roman" w:cs="Times New Roman" w:hint="eastAsia"/>
                <w:szCs w:val="21"/>
              </w:rPr>
              <w:t>能源消耗总量</w:t>
            </w:r>
            <w:r w:rsidR="007604CC" w:rsidRPr="007604CC">
              <w:rPr>
                <w:rFonts w:ascii="Times New Roman" w:eastAsia="宋体" w:hAnsi="Times New Roman" w:cs="Times New Roman"/>
                <w:szCs w:val="21"/>
              </w:rPr>
              <w:t>(</w:t>
            </w:r>
            <w:r w:rsidR="007604CC">
              <w:rPr>
                <w:rFonts w:ascii="Times New Roman" w:eastAsia="宋体" w:hAnsi="Times New Roman" w:cs="Times New Roman" w:hint="eastAsia"/>
                <w:szCs w:val="21"/>
              </w:rPr>
              <w:t>煤、电等</w:t>
            </w:r>
            <w:r w:rsidR="007604CC" w:rsidRPr="007604CC">
              <w:rPr>
                <w:rFonts w:ascii="Times New Roman" w:eastAsia="宋体" w:hAnsi="Times New Roman" w:cs="Times New Roman"/>
                <w:szCs w:val="21"/>
              </w:rPr>
              <w:t>)/</w:t>
            </w:r>
            <w:r w:rsidR="007604CC" w:rsidRPr="007604CC">
              <w:rPr>
                <w:rFonts w:ascii="Times New Roman" w:eastAsia="宋体" w:hAnsi="Times New Roman" w:cs="Times New Roman"/>
                <w:szCs w:val="21"/>
              </w:rPr>
              <w:t>工业</w:t>
            </w:r>
            <w:r w:rsidR="007604CC">
              <w:rPr>
                <w:rFonts w:ascii="Times New Roman" w:eastAsia="宋体" w:hAnsi="Times New Roman" w:cs="Times New Roman" w:hint="eastAsia"/>
                <w:szCs w:val="21"/>
              </w:rPr>
              <w:t>产</w:t>
            </w:r>
            <w:r w:rsidR="007604CC" w:rsidRPr="007604CC">
              <w:rPr>
                <w:rFonts w:ascii="Times New Roman" w:eastAsia="宋体" w:hAnsi="Times New Roman" w:cs="Times New Roman"/>
                <w:szCs w:val="21"/>
              </w:rPr>
              <w:t>值</w:t>
            </w:r>
          </w:p>
        </w:tc>
        <w:tc>
          <w:tcPr>
            <w:tcW w:w="525" w:type="pct"/>
            <w:tcBorders>
              <w:top w:val="nil"/>
              <w:bottom w:val="nil"/>
            </w:tcBorders>
            <w:shd w:val="clear" w:color="auto" w:fill="auto"/>
            <w:vAlign w:val="center"/>
          </w:tcPr>
          <w:p w14:paraId="10C71663" w14:textId="267021A9" w:rsidR="00A037D1" w:rsidRPr="004F168C" w:rsidRDefault="007604CC"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计算类</w:t>
            </w:r>
          </w:p>
        </w:tc>
      </w:tr>
      <w:tr w:rsidR="00A037D1" w:rsidRPr="004F168C" w14:paraId="06F328ED" w14:textId="77777777" w:rsidTr="00076320">
        <w:trPr>
          <w:jc w:val="center"/>
        </w:trPr>
        <w:tc>
          <w:tcPr>
            <w:tcW w:w="858" w:type="pct"/>
            <w:tcBorders>
              <w:top w:val="nil"/>
              <w:bottom w:val="nil"/>
            </w:tcBorders>
            <w:shd w:val="clear" w:color="auto" w:fill="auto"/>
            <w:vAlign w:val="center"/>
          </w:tcPr>
          <w:p w14:paraId="6379458E" w14:textId="77777777" w:rsidR="000E6629" w:rsidRDefault="00A037D1"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企业电气化</w:t>
            </w:r>
          </w:p>
          <w:p w14:paraId="4C3BE697" w14:textId="75B2B290" w:rsidR="00A037D1" w:rsidRPr="004F168C" w:rsidRDefault="00A037D1"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水平</w:t>
            </w:r>
            <w:r>
              <w:rPr>
                <w:rFonts w:ascii="Times New Roman" w:eastAsia="宋体" w:hAnsi="Times New Roman" w:cs="Times New Roman" w:hint="eastAsia"/>
                <w:szCs w:val="21"/>
              </w:rPr>
              <w:t>C</w:t>
            </w:r>
            <w:r>
              <w:rPr>
                <w:rFonts w:ascii="Times New Roman" w:eastAsia="宋体" w:hAnsi="Times New Roman" w:cs="Times New Roman"/>
                <w:szCs w:val="21"/>
              </w:rPr>
              <w:t>7</w:t>
            </w:r>
          </w:p>
        </w:tc>
        <w:tc>
          <w:tcPr>
            <w:tcW w:w="3617" w:type="pct"/>
            <w:tcBorders>
              <w:top w:val="nil"/>
              <w:bottom w:val="nil"/>
            </w:tcBorders>
            <w:shd w:val="clear" w:color="auto" w:fill="auto"/>
            <w:vAlign w:val="center"/>
          </w:tcPr>
          <w:p w14:paraId="3109FD88" w14:textId="7774843C" w:rsidR="00A037D1" w:rsidRPr="004F168C" w:rsidRDefault="000E6629"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反映统计期内</w:t>
            </w:r>
            <w:r w:rsidR="00B26034">
              <w:rPr>
                <w:rFonts w:ascii="Times New Roman" w:eastAsia="宋体" w:hAnsi="Times New Roman" w:cs="Times New Roman" w:hint="eastAsia"/>
                <w:szCs w:val="21"/>
              </w:rPr>
              <w:t>工业电力用户</w:t>
            </w:r>
            <w:r>
              <w:rPr>
                <w:rFonts w:ascii="Times New Roman" w:eastAsia="宋体" w:hAnsi="Times New Roman" w:cs="Times New Roman" w:hint="eastAsia"/>
                <w:szCs w:val="21"/>
              </w:rPr>
              <w:t>电能消费强度：电能占能耗比重</w:t>
            </w:r>
          </w:p>
        </w:tc>
        <w:tc>
          <w:tcPr>
            <w:tcW w:w="525" w:type="pct"/>
            <w:tcBorders>
              <w:top w:val="nil"/>
              <w:bottom w:val="nil"/>
            </w:tcBorders>
            <w:shd w:val="clear" w:color="auto" w:fill="auto"/>
            <w:vAlign w:val="center"/>
          </w:tcPr>
          <w:p w14:paraId="6750199A" w14:textId="1EF7A4FA" w:rsidR="00A037D1" w:rsidRPr="004F168C" w:rsidRDefault="007604CC"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计算类</w:t>
            </w:r>
          </w:p>
        </w:tc>
      </w:tr>
      <w:tr w:rsidR="00A037D1" w:rsidRPr="004F168C" w14:paraId="1C21725A" w14:textId="77777777" w:rsidTr="00076320">
        <w:trPr>
          <w:jc w:val="center"/>
        </w:trPr>
        <w:tc>
          <w:tcPr>
            <w:tcW w:w="858" w:type="pct"/>
            <w:tcBorders>
              <w:top w:val="nil"/>
              <w:bottom w:val="nil"/>
            </w:tcBorders>
            <w:shd w:val="clear" w:color="auto" w:fill="auto"/>
            <w:vAlign w:val="center"/>
          </w:tcPr>
          <w:p w14:paraId="7526F4FD" w14:textId="397C7392" w:rsidR="00A037D1" w:rsidRPr="004F168C" w:rsidRDefault="00A037D1"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提效技术研发</w:t>
            </w:r>
            <w:r w:rsidR="000E6629">
              <w:rPr>
                <w:rFonts w:ascii="Times New Roman" w:eastAsia="宋体" w:hAnsi="Times New Roman" w:cs="Times New Roman" w:hint="eastAsia"/>
                <w:szCs w:val="21"/>
              </w:rPr>
              <w:t>C</w:t>
            </w:r>
            <w:r w:rsidR="000E6629">
              <w:rPr>
                <w:rFonts w:ascii="Times New Roman" w:eastAsia="宋体" w:hAnsi="Times New Roman" w:cs="Times New Roman"/>
                <w:szCs w:val="21"/>
              </w:rPr>
              <w:t>8</w:t>
            </w:r>
            <w:r w:rsidR="000E6629">
              <w:rPr>
                <w:rFonts w:ascii="Times New Roman" w:eastAsia="宋体" w:hAnsi="Times New Roman" w:cs="Times New Roman" w:hint="eastAsia"/>
                <w:szCs w:val="21"/>
              </w:rPr>
              <w:t>/</w:t>
            </w:r>
            <w:r w:rsidR="000E6629">
              <w:rPr>
                <w:rFonts w:ascii="Times New Roman" w:eastAsia="宋体" w:hAnsi="Times New Roman" w:cs="Times New Roman" w:hint="eastAsia"/>
                <w:szCs w:val="21"/>
              </w:rPr>
              <w:t>节能设备改进</w:t>
            </w:r>
            <w:r>
              <w:rPr>
                <w:rFonts w:ascii="Times New Roman" w:eastAsia="宋体" w:hAnsi="Times New Roman" w:cs="Times New Roman" w:hint="eastAsia"/>
                <w:szCs w:val="21"/>
              </w:rPr>
              <w:t>投入占比</w:t>
            </w:r>
            <w:r w:rsidR="000E6629">
              <w:rPr>
                <w:rFonts w:ascii="Times New Roman" w:eastAsia="宋体" w:hAnsi="Times New Roman" w:cs="Times New Roman" w:hint="eastAsia"/>
                <w:szCs w:val="21"/>
              </w:rPr>
              <w:t>C</w:t>
            </w:r>
            <w:r w:rsidR="000E6629">
              <w:rPr>
                <w:rFonts w:ascii="Times New Roman" w:eastAsia="宋体" w:hAnsi="Times New Roman" w:cs="Times New Roman"/>
                <w:szCs w:val="21"/>
              </w:rPr>
              <w:t>9</w:t>
            </w:r>
          </w:p>
        </w:tc>
        <w:tc>
          <w:tcPr>
            <w:tcW w:w="3617" w:type="pct"/>
            <w:tcBorders>
              <w:top w:val="nil"/>
              <w:bottom w:val="nil"/>
            </w:tcBorders>
            <w:shd w:val="clear" w:color="auto" w:fill="auto"/>
            <w:vAlign w:val="center"/>
          </w:tcPr>
          <w:p w14:paraId="729179CE" w14:textId="010FA2CA" w:rsidR="00A037D1" w:rsidRPr="004F168C" w:rsidRDefault="000E6629"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衡量统计期内</w:t>
            </w:r>
            <w:r w:rsidR="00B26034">
              <w:rPr>
                <w:rFonts w:ascii="Times New Roman" w:eastAsia="宋体" w:hAnsi="Times New Roman" w:cs="Times New Roman" w:hint="eastAsia"/>
                <w:szCs w:val="21"/>
              </w:rPr>
              <w:t>工业电力用户</w:t>
            </w:r>
            <w:r w:rsidR="00F33423">
              <w:rPr>
                <w:rFonts w:ascii="Times New Roman" w:eastAsia="宋体" w:hAnsi="Times New Roman" w:cs="Times New Roman" w:hint="eastAsia"/>
                <w:szCs w:val="21"/>
              </w:rPr>
              <w:t>在节能提效新技术研发或设备改进等方面的资金投入力度：提效技术研发</w:t>
            </w:r>
            <w:r w:rsidR="00F33423">
              <w:rPr>
                <w:rFonts w:ascii="Times New Roman" w:eastAsia="宋体" w:hAnsi="Times New Roman" w:cs="Times New Roman"/>
                <w:szCs w:val="21"/>
              </w:rPr>
              <w:t>(</w:t>
            </w:r>
            <w:r w:rsidR="00F33423">
              <w:rPr>
                <w:rFonts w:ascii="Times New Roman" w:eastAsia="宋体" w:hAnsi="Times New Roman" w:cs="Times New Roman" w:hint="eastAsia"/>
                <w:szCs w:val="21"/>
              </w:rPr>
              <w:t>或节能设备改进</w:t>
            </w:r>
            <w:r w:rsidR="00F33423">
              <w:rPr>
                <w:rFonts w:ascii="Times New Roman" w:eastAsia="宋体" w:hAnsi="Times New Roman" w:cs="Times New Roman" w:hint="eastAsia"/>
                <w:szCs w:val="21"/>
              </w:rPr>
              <w:t>)</w:t>
            </w:r>
            <w:r w:rsidR="00F33423">
              <w:rPr>
                <w:rFonts w:ascii="Times New Roman" w:eastAsia="宋体" w:hAnsi="Times New Roman" w:cs="Times New Roman" w:hint="eastAsia"/>
                <w:szCs w:val="21"/>
              </w:rPr>
              <w:t>投入</w:t>
            </w:r>
            <w:r w:rsidR="00F33423">
              <w:rPr>
                <w:rFonts w:ascii="Times New Roman" w:eastAsia="宋体" w:hAnsi="Times New Roman" w:cs="Times New Roman" w:hint="eastAsia"/>
                <w:szCs w:val="21"/>
              </w:rPr>
              <w:t>/</w:t>
            </w:r>
            <w:r w:rsidR="00F33423">
              <w:rPr>
                <w:rFonts w:ascii="Times New Roman" w:eastAsia="宋体" w:hAnsi="Times New Roman" w:cs="Times New Roman" w:hint="eastAsia"/>
                <w:szCs w:val="21"/>
              </w:rPr>
              <w:t>销售额</w:t>
            </w:r>
          </w:p>
        </w:tc>
        <w:tc>
          <w:tcPr>
            <w:tcW w:w="525" w:type="pct"/>
            <w:tcBorders>
              <w:top w:val="nil"/>
              <w:bottom w:val="nil"/>
            </w:tcBorders>
            <w:shd w:val="clear" w:color="auto" w:fill="auto"/>
            <w:vAlign w:val="center"/>
          </w:tcPr>
          <w:p w14:paraId="51FAC341" w14:textId="205C5B0E" w:rsidR="00A037D1" w:rsidRPr="004F168C" w:rsidRDefault="007604CC"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计算类</w:t>
            </w:r>
          </w:p>
        </w:tc>
      </w:tr>
      <w:tr w:rsidR="00611A3D" w:rsidRPr="004F168C" w14:paraId="3D2DB229" w14:textId="77777777" w:rsidTr="00076320">
        <w:trPr>
          <w:jc w:val="center"/>
        </w:trPr>
        <w:tc>
          <w:tcPr>
            <w:tcW w:w="858" w:type="pct"/>
            <w:tcBorders>
              <w:top w:val="nil"/>
              <w:bottom w:val="nil"/>
            </w:tcBorders>
            <w:shd w:val="clear" w:color="auto" w:fill="auto"/>
            <w:vAlign w:val="center"/>
          </w:tcPr>
          <w:p w14:paraId="4AAF8820" w14:textId="77777777" w:rsidR="00F51EEF"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能效管理</w:t>
            </w:r>
          </w:p>
          <w:p w14:paraId="744CF9BF" w14:textId="64311996" w:rsidR="00611A3D" w:rsidRPr="004F168C" w:rsidRDefault="00A037D1"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水平</w:t>
            </w:r>
            <w:r>
              <w:rPr>
                <w:rFonts w:ascii="Times New Roman" w:eastAsia="宋体" w:hAnsi="Times New Roman" w:cs="Times New Roman" w:hint="eastAsia"/>
                <w:szCs w:val="21"/>
              </w:rPr>
              <w:t>C</w:t>
            </w:r>
            <w:r>
              <w:rPr>
                <w:rFonts w:ascii="Times New Roman" w:eastAsia="宋体" w:hAnsi="Times New Roman" w:cs="Times New Roman"/>
                <w:szCs w:val="21"/>
              </w:rPr>
              <w:t>10</w:t>
            </w:r>
          </w:p>
        </w:tc>
        <w:tc>
          <w:tcPr>
            <w:tcW w:w="3617" w:type="pct"/>
            <w:tcBorders>
              <w:top w:val="nil"/>
              <w:bottom w:val="nil"/>
            </w:tcBorders>
            <w:shd w:val="clear" w:color="auto" w:fill="auto"/>
            <w:vAlign w:val="center"/>
          </w:tcPr>
          <w:p w14:paraId="481618B6" w14:textId="5E59443E"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体现</w:t>
            </w:r>
            <w:r w:rsidR="00B26034">
              <w:rPr>
                <w:rFonts w:ascii="Times New Roman" w:eastAsia="宋体" w:hAnsi="Times New Roman" w:cs="Times New Roman" w:hint="eastAsia"/>
                <w:szCs w:val="21"/>
              </w:rPr>
              <w:t>工业电力用户</w:t>
            </w:r>
            <w:r w:rsidR="001C59A7">
              <w:rPr>
                <w:rFonts w:ascii="Times New Roman" w:eastAsia="宋体" w:hAnsi="Times New Roman" w:cs="Times New Roman" w:hint="eastAsia"/>
                <w:szCs w:val="21"/>
              </w:rPr>
              <w:t>执行电网</w:t>
            </w:r>
            <w:r w:rsidR="001C59A7" w:rsidRPr="001C59A7">
              <w:rPr>
                <w:rFonts w:ascii="Times New Roman" w:eastAsia="宋体" w:hAnsi="Times New Roman" w:cs="Times New Roman" w:hint="eastAsia"/>
                <w:szCs w:val="21"/>
              </w:rPr>
              <w:t>安全生产监察部门</w:t>
            </w:r>
            <w:r w:rsidR="001C59A7">
              <w:rPr>
                <w:rFonts w:ascii="Times New Roman" w:eastAsia="宋体" w:hAnsi="Times New Roman" w:cs="Times New Roman" w:hint="eastAsia"/>
                <w:szCs w:val="21"/>
              </w:rPr>
              <w:t>发布的相关规定的完成情况，</w:t>
            </w:r>
            <w:r w:rsidRPr="004F168C">
              <w:rPr>
                <w:rFonts w:ascii="Times New Roman" w:eastAsia="宋体" w:hAnsi="Times New Roman" w:cs="Times New Roman" w:hint="eastAsia"/>
                <w:szCs w:val="21"/>
              </w:rPr>
              <w:t>以及参与供电企业的节能引导和服务活动的配合情况。</w:t>
            </w:r>
          </w:p>
        </w:tc>
        <w:tc>
          <w:tcPr>
            <w:tcW w:w="525" w:type="pct"/>
            <w:tcBorders>
              <w:top w:val="nil"/>
              <w:bottom w:val="nil"/>
            </w:tcBorders>
            <w:shd w:val="clear" w:color="auto" w:fill="auto"/>
            <w:vAlign w:val="center"/>
          </w:tcPr>
          <w:p w14:paraId="12BECF91"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统计类</w:t>
            </w:r>
          </w:p>
        </w:tc>
      </w:tr>
      <w:tr w:rsidR="00611A3D" w:rsidRPr="004F168C" w14:paraId="2F6A894D" w14:textId="77777777" w:rsidTr="00076320">
        <w:trPr>
          <w:jc w:val="center"/>
        </w:trPr>
        <w:tc>
          <w:tcPr>
            <w:tcW w:w="858" w:type="pct"/>
            <w:tcBorders>
              <w:top w:val="nil"/>
              <w:bottom w:val="nil"/>
            </w:tcBorders>
            <w:shd w:val="clear" w:color="auto" w:fill="auto"/>
            <w:vAlign w:val="center"/>
          </w:tcPr>
          <w:p w14:paraId="4E4E5992" w14:textId="77777777" w:rsidR="002923B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调休价值</w:t>
            </w:r>
          </w:p>
          <w:p w14:paraId="1D18A97C" w14:textId="028BF54E"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指数</w:t>
            </w:r>
            <w:r w:rsidR="00A037D1">
              <w:rPr>
                <w:rFonts w:ascii="Times New Roman" w:eastAsia="宋体" w:hAnsi="Times New Roman" w:cs="Times New Roman" w:hint="eastAsia"/>
                <w:szCs w:val="21"/>
              </w:rPr>
              <w:t>O</w:t>
            </w:r>
            <w:r w:rsidR="00A037D1">
              <w:rPr>
                <w:rFonts w:ascii="Times New Roman" w:eastAsia="宋体" w:hAnsi="Times New Roman" w:cs="Times New Roman"/>
                <w:szCs w:val="21"/>
              </w:rPr>
              <w:t>1</w:t>
            </w:r>
          </w:p>
        </w:tc>
        <w:tc>
          <w:tcPr>
            <w:tcW w:w="3617" w:type="pct"/>
            <w:tcBorders>
              <w:top w:val="nil"/>
              <w:bottom w:val="nil"/>
            </w:tcBorders>
            <w:shd w:val="clear" w:color="auto" w:fill="auto"/>
            <w:vAlign w:val="center"/>
          </w:tcPr>
          <w:p w14:paraId="562AC4AD" w14:textId="18A06B5E" w:rsidR="00611A3D" w:rsidRPr="004F168C" w:rsidRDefault="00B26034"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工业电力用户</w:t>
            </w:r>
            <w:r w:rsidR="00611A3D" w:rsidRPr="004F168C">
              <w:rPr>
                <w:rFonts w:ascii="Times New Roman" w:eastAsia="宋体" w:hAnsi="Times New Roman" w:cs="Times New Roman" w:hint="eastAsia"/>
                <w:szCs w:val="21"/>
              </w:rPr>
              <w:t>在不损失产能的情况下，以调整周休的方式参与有序用电的适合程度和贡献程度。</w:t>
            </w:r>
          </w:p>
        </w:tc>
        <w:tc>
          <w:tcPr>
            <w:tcW w:w="525" w:type="pct"/>
            <w:tcBorders>
              <w:top w:val="nil"/>
              <w:bottom w:val="nil"/>
            </w:tcBorders>
            <w:shd w:val="clear" w:color="auto" w:fill="auto"/>
            <w:vAlign w:val="center"/>
          </w:tcPr>
          <w:p w14:paraId="41C7F764"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计算类</w:t>
            </w:r>
          </w:p>
        </w:tc>
      </w:tr>
      <w:tr w:rsidR="00611A3D" w:rsidRPr="004F168C" w14:paraId="41A4CA0F" w14:textId="77777777" w:rsidTr="00076320">
        <w:trPr>
          <w:jc w:val="center"/>
        </w:trPr>
        <w:tc>
          <w:tcPr>
            <w:tcW w:w="858" w:type="pct"/>
            <w:tcBorders>
              <w:top w:val="nil"/>
              <w:bottom w:val="nil"/>
            </w:tcBorders>
            <w:shd w:val="clear" w:color="auto" w:fill="auto"/>
            <w:vAlign w:val="center"/>
          </w:tcPr>
          <w:p w14:paraId="5BBD4F97" w14:textId="77777777" w:rsidR="002923B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检修价值</w:t>
            </w:r>
          </w:p>
          <w:p w14:paraId="25221DE0" w14:textId="2ECF24A3"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指数</w:t>
            </w:r>
            <w:r w:rsidR="00A037D1">
              <w:rPr>
                <w:rFonts w:ascii="Times New Roman" w:eastAsia="宋体" w:hAnsi="Times New Roman" w:cs="Times New Roman" w:hint="eastAsia"/>
                <w:szCs w:val="21"/>
              </w:rPr>
              <w:t>O</w:t>
            </w:r>
            <w:r w:rsidR="00A037D1">
              <w:rPr>
                <w:rFonts w:ascii="Times New Roman" w:eastAsia="宋体" w:hAnsi="Times New Roman" w:cs="Times New Roman"/>
                <w:szCs w:val="21"/>
              </w:rPr>
              <w:t>2</w:t>
            </w:r>
          </w:p>
        </w:tc>
        <w:tc>
          <w:tcPr>
            <w:tcW w:w="3617" w:type="pct"/>
            <w:tcBorders>
              <w:top w:val="nil"/>
              <w:bottom w:val="nil"/>
            </w:tcBorders>
            <w:shd w:val="clear" w:color="auto" w:fill="auto"/>
            <w:vAlign w:val="center"/>
          </w:tcPr>
          <w:p w14:paraId="28E0D81E" w14:textId="0804CFAA" w:rsidR="00611A3D" w:rsidRPr="004F168C" w:rsidRDefault="00B26034" w:rsidP="00F920D0">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工业电力用户</w:t>
            </w:r>
            <w:r w:rsidR="00611A3D" w:rsidRPr="004F168C">
              <w:rPr>
                <w:rFonts w:ascii="Times New Roman" w:eastAsia="宋体" w:hAnsi="Times New Roman" w:cs="Times New Roman" w:hint="eastAsia"/>
                <w:szCs w:val="21"/>
              </w:rPr>
              <w:t>在不损失产能的情况下，以在电网高峰时段安排生产设施集中检修（周期检修）的方式参与有序用电的适合程度和贡献程度。</w:t>
            </w:r>
          </w:p>
        </w:tc>
        <w:tc>
          <w:tcPr>
            <w:tcW w:w="525" w:type="pct"/>
            <w:tcBorders>
              <w:top w:val="nil"/>
              <w:bottom w:val="nil"/>
            </w:tcBorders>
            <w:shd w:val="clear" w:color="auto" w:fill="auto"/>
            <w:vAlign w:val="center"/>
          </w:tcPr>
          <w:p w14:paraId="54CFC426"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计算类</w:t>
            </w:r>
          </w:p>
        </w:tc>
      </w:tr>
      <w:tr w:rsidR="00611A3D" w:rsidRPr="004F168C" w14:paraId="596517B2" w14:textId="77777777" w:rsidTr="00076320">
        <w:trPr>
          <w:jc w:val="center"/>
        </w:trPr>
        <w:tc>
          <w:tcPr>
            <w:tcW w:w="858" w:type="pct"/>
            <w:tcBorders>
              <w:top w:val="nil"/>
              <w:bottom w:val="nil"/>
            </w:tcBorders>
            <w:shd w:val="clear" w:color="auto" w:fill="auto"/>
            <w:vAlign w:val="center"/>
          </w:tcPr>
          <w:p w14:paraId="77171797" w14:textId="77777777" w:rsidR="002923B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避峰价值</w:t>
            </w:r>
          </w:p>
          <w:p w14:paraId="69E87CA2" w14:textId="08A32D8C"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指数</w:t>
            </w:r>
            <w:r w:rsidR="00A037D1">
              <w:rPr>
                <w:rFonts w:ascii="Times New Roman" w:eastAsia="宋体" w:hAnsi="Times New Roman" w:cs="Times New Roman" w:hint="eastAsia"/>
                <w:szCs w:val="21"/>
              </w:rPr>
              <w:t>O</w:t>
            </w:r>
            <w:r w:rsidR="00A037D1">
              <w:rPr>
                <w:rFonts w:ascii="Times New Roman" w:eastAsia="宋体" w:hAnsi="Times New Roman" w:cs="Times New Roman"/>
                <w:szCs w:val="21"/>
              </w:rPr>
              <w:t>3</w:t>
            </w:r>
          </w:p>
        </w:tc>
        <w:tc>
          <w:tcPr>
            <w:tcW w:w="3617" w:type="pct"/>
            <w:tcBorders>
              <w:top w:val="nil"/>
              <w:bottom w:val="nil"/>
            </w:tcBorders>
            <w:shd w:val="clear" w:color="auto" w:fill="auto"/>
            <w:vAlign w:val="center"/>
          </w:tcPr>
          <w:p w14:paraId="1702553B" w14:textId="69A68D36"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电网高峰时段，</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以削减、中断或停止用电负荷的方式参与有序用电的适合程度和贡献程度。</w:t>
            </w:r>
          </w:p>
        </w:tc>
        <w:tc>
          <w:tcPr>
            <w:tcW w:w="525" w:type="pct"/>
            <w:tcBorders>
              <w:top w:val="nil"/>
              <w:bottom w:val="nil"/>
            </w:tcBorders>
            <w:shd w:val="clear" w:color="auto" w:fill="auto"/>
            <w:vAlign w:val="center"/>
          </w:tcPr>
          <w:p w14:paraId="4F8C6E02"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计算类</w:t>
            </w:r>
          </w:p>
        </w:tc>
      </w:tr>
      <w:tr w:rsidR="00611A3D" w:rsidRPr="004F168C" w14:paraId="0E284918" w14:textId="77777777" w:rsidTr="00076320">
        <w:trPr>
          <w:jc w:val="center"/>
        </w:trPr>
        <w:tc>
          <w:tcPr>
            <w:tcW w:w="858" w:type="pct"/>
            <w:tcBorders>
              <w:top w:val="nil"/>
            </w:tcBorders>
            <w:shd w:val="clear" w:color="auto" w:fill="auto"/>
            <w:vAlign w:val="center"/>
          </w:tcPr>
          <w:p w14:paraId="782D8FBE" w14:textId="77777777" w:rsidR="002923B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错时价值</w:t>
            </w:r>
          </w:p>
          <w:p w14:paraId="164AE0C2" w14:textId="4BF103DA"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指数</w:t>
            </w:r>
            <w:r w:rsidR="00A037D1">
              <w:rPr>
                <w:rFonts w:ascii="Times New Roman" w:eastAsia="宋体" w:hAnsi="Times New Roman" w:cs="Times New Roman" w:hint="eastAsia"/>
                <w:szCs w:val="21"/>
              </w:rPr>
              <w:t>O</w:t>
            </w:r>
            <w:r w:rsidR="00A037D1">
              <w:rPr>
                <w:rFonts w:ascii="Times New Roman" w:eastAsia="宋体" w:hAnsi="Times New Roman" w:cs="Times New Roman"/>
                <w:szCs w:val="21"/>
              </w:rPr>
              <w:t>4</w:t>
            </w:r>
          </w:p>
        </w:tc>
        <w:tc>
          <w:tcPr>
            <w:tcW w:w="3617" w:type="pct"/>
            <w:tcBorders>
              <w:top w:val="nil"/>
            </w:tcBorders>
            <w:shd w:val="clear" w:color="auto" w:fill="auto"/>
            <w:vAlign w:val="center"/>
          </w:tcPr>
          <w:p w14:paraId="519D24D4" w14:textId="2E5CEE23"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电网高峰时段，</w:t>
            </w:r>
            <w:r w:rsidR="00B26034">
              <w:rPr>
                <w:rFonts w:ascii="Times New Roman" w:eastAsia="宋体" w:hAnsi="Times New Roman" w:cs="Times New Roman" w:hint="eastAsia"/>
                <w:szCs w:val="21"/>
              </w:rPr>
              <w:t>工业电力用户</w:t>
            </w:r>
            <w:r w:rsidRPr="004F168C">
              <w:rPr>
                <w:rFonts w:ascii="Times New Roman" w:eastAsia="宋体" w:hAnsi="Times New Roman" w:cs="Times New Roman" w:hint="eastAsia"/>
                <w:szCs w:val="21"/>
              </w:rPr>
              <w:t>在不损失产能的情况下，以调整生产班次、工序等转移用电负荷的方式参与有序用电的适合程度和贡献程度。</w:t>
            </w:r>
          </w:p>
        </w:tc>
        <w:tc>
          <w:tcPr>
            <w:tcW w:w="525" w:type="pct"/>
            <w:tcBorders>
              <w:top w:val="nil"/>
            </w:tcBorders>
            <w:shd w:val="clear" w:color="auto" w:fill="auto"/>
            <w:vAlign w:val="center"/>
          </w:tcPr>
          <w:p w14:paraId="149AB541" w14:textId="77777777" w:rsidR="00611A3D" w:rsidRPr="004F168C" w:rsidRDefault="00611A3D" w:rsidP="00F920D0">
            <w:pPr>
              <w:spacing w:line="240" w:lineRule="atLeast"/>
              <w:jc w:val="center"/>
              <w:rPr>
                <w:rFonts w:ascii="Times New Roman" w:eastAsia="宋体" w:hAnsi="Times New Roman" w:cs="Times New Roman"/>
                <w:szCs w:val="21"/>
              </w:rPr>
            </w:pPr>
            <w:r w:rsidRPr="004F168C">
              <w:rPr>
                <w:rFonts w:ascii="Times New Roman" w:eastAsia="宋体" w:hAnsi="Times New Roman" w:cs="Times New Roman" w:hint="eastAsia"/>
                <w:szCs w:val="21"/>
              </w:rPr>
              <w:t>计算类</w:t>
            </w:r>
          </w:p>
        </w:tc>
      </w:tr>
    </w:tbl>
    <w:p w14:paraId="254ECCCF" w14:textId="42D4AA9C" w:rsidR="00F33423" w:rsidRPr="00804FC6" w:rsidRDefault="00C85B15" w:rsidP="00C85B15">
      <w:pPr>
        <w:spacing w:line="240" w:lineRule="atLeast"/>
        <w:jc w:val="left"/>
        <w:rPr>
          <w:rFonts w:ascii="Times New Roman" w:eastAsia="宋体" w:hAnsi="Times New Roman" w:cs="Times New Roman"/>
          <w:b/>
          <w:bCs/>
          <w:szCs w:val="21"/>
        </w:rPr>
      </w:pPr>
      <w:r w:rsidRPr="00804FC6">
        <w:rPr>
          <w:rFonts w:ascii="Times New Roman" w:eastAsia="宋体" w:hAnsi="Times New Roman" w:cs="Times New Roman"/>
          <w:b/>
          <w:bCs/>
          <w:szCs w:val="21"/>
        </w:rPr>
        <w:t>注：指标</w:t>
      </w:r>
      <w:r w:rsidR="00E636FD">
        <w:rPr>
          <w:rFonts w:ascii="Times New Roman" w:eastAsia="宋体" w:hAnsi="Times New Roman" w:cs="Times New Roman" w:hint="eastAsia"/>
          <w:b/>
          <w:bCs/>
          <w:szCs w:val="21"/>
        </w:rPr>
        <w:t>参考来源</w:t>
      </w:r>
      <w:bookmarkStart w:id="0" w:name="_GoBack"/>
      <w:bookmarkEnd w:id="0"/>
      <w:r w:rsidR="00F33423" w:rsidRPr="00804FC6">
        <w:rPr>
          <w:rFonts w:ascii="Times New Roman" w:eastAsia="宋体" w:hAnsi="Times New Roman" w:cs="Times New Roman" w:hint="eastAsia"/>
          <w:b/>
          <w:bCs/>
          <w:szCs w:val="21"/>
        </w:rPr>
        <w:t>如下。</w:t>
      </w:r>
    </w:p>
    <w:p w14:paraId="69EBEF69" w14:textId="541ADAF5" w:rsidR="00C85B15" w:rsidRPr="00383128" w:rsidRDefault="00C85B15" w:rsidP="00C85B15">
      <w:pPr>
        <w:spacing w:line="240" w:lineRule="atLeast"/>
        <w:jc w:val="left"/>
        <w:rPr>
          <w:rFonts w:ascii="Times New Roman" w:eastAsia="宋体" w:hAnsi="Times New Roman" w:cs="Times New Roman"/>
          <w:szCs w:val="21"/>
        </w:rPr>
      </w:pPr>
      <w:r w:rsidRPr="00383128">
        <w:rPr>
          <w:rFonts w:ascii="Times New Roman" w:eastAsia="宋体" w:hAnsi="Times New Roman" w:cs="Times New Roman"/>
          <w:szCs w:val="21"/>
        </w:rPr>
        <w:t xml:space="preserve">[1] </w:t>
      </w:r>
      <w:r w:rsidRPr="00383128">
        <w:rPr>
          <w:rFonts w:ascii="Times New Roman" w:eastAsia="宋体" w:hAnsi="Times New Roman" w:cs="Times New Roman"/>
          <w:szCs w:val="21"/>
        </w:rPr>
        <w:t>刘振亚</w:t>
      </w:r>
      <w:r w:rsidRPr="00383128">
        <w:rPr>
          <w:rFonts w:ascii="Times New Roman" w:eastAsia="宋体" w:hAnsi="Times New Roman" w:cs="Times New Roman"/>
          <w:szCs w:val="21"/>
        </w:rPr>
        <w:t xml:space="preserve">. </w:t>
      </w:r>
      <w:r w:rsidRPr="00383128">
        <w:rPr>
          <w:rFonts w:ascii="Times New Roman" w:eastAsia="宋体" w:hAnsi="Times New Roman" w:cs="Times New Roman"/>
          <w:szCs w:val="21"/>
        </w:rPr>
        <w:t>国家电网公司信息化建设工程全书八大业务应用典型设计卷：营销业务应用篇营销业务模型设计（第二篇</w:t>
      </w:r>
      <w:r w:rsidRPr="00383128">
        <w:rPr>
          <w:rFonts w:ascii="Times New Roman" w:eastAsia="宋体" w:hAnsi="Times New Roman" w:cs="Times New Roman"/>
          <w:szCs w:val="21"/>
        </w:rPr>
        <w:t xml:space="preserve">  </w:t>
      </w:r>
      <w:r w:rsidRPr="00383128">
        <w:rPr>
          <w:rFonts w:ascii="Times New Roman" w:eastAsia="宋体" w:hAnsi="Times New Roman" w:cs="Times New Roman"/>
          <w:szCs w:val="21"/>
        </w:rPr>
        <w:t>能效管理分册）</w:t>
      </w:r>
      <w:r w:rsidRPr="00383128">
        <w:rPr>
          <w:rFonts w:ascii="Times New Roman" w:eastAsia="宋体" w:hAnsi="Times New Roman" w:cs="Times New Roman"/>
          <w:szCs w:val="21"/>
        </w:rPr>
        <w:t xml:space="preserve">[M]. </w:t>
      </w:r>
      <w:r w:rsidRPr="00383128">
        <w:rPr>
          <w:rFonts w:ascii="Times New Roman" w:eastAsia="宋体" w:hAnsi="Times New Roman" w:cs="Times New Roman"/>
          <w:szCs w:val="21"/>
        </w:rPr>
        <w:t>北京</w:t>
      </w:r>
      <w:r w:rsidRPr="00383128">
        <w:rPr>
          <w:rFonts w:ascii="Times New Roman" w:eastAsia="宋体" w:hAnsi="Times New Roman" w:cs="Times New Roman"/>
          <w:szCs w:val="21"/>
        </w:rPr>
        <w:t xml:space="preserve">: </w:t>
      </w:r>
      <w:r w:rsidRPr="00383128">
        <w:rPr>
          <w:rFonts w:ascii="Times New Roman" w:eastAsia="宋体" w:hAnsi="Times New Roman" w:cs="Times New Roman"/>
          <w:szCs w:val="21"/>
        </w:rPr>
        <w:t>中国电力出版社</w:t>
      </w:r>
      <w:r w:rsidRPr="00383128">
        <w:rPr>
          <w:rFonts w:ascii="Times New Roman" w:eastAsia="宋体" w:hAnsi="Times New Roman" w:cs="Times New Roman"/>
          <w:szCs w:val="21"/>
        </w:rPr>
        <w:t>, 2008.</w:t>
      </w:r>
    </w:p>
    <w:p w14:paraId="6FE87CBC" w14:textId="6505C99E" w:rsidR="00C85B15" w:rsidRPr="00383128" w:rsidRDefault="00C85B15" w:rsidP="00C85B15">
      <w:pPr>
        <w:spacing w:line="240" w:lineRule="atLeast"/>
        <w:jc w:val="left"/>
        <w:rPr>
          <w:rFonts w:ascii="Times New Roman" w:eastAsia="宋体" w:hAnsi="Times New Roman" w:cs="Times New Roman"/>
          <w:szCs w:val="21"/>
        </w:rPr>
      </w:pPr>
      <w:r w:rsidRPr="00383128">
        <w:rPr>
          <w:rFonts w:ascii="Times New Roman" w:eastAsia="宋体" w:hAnsi="Times New Roman" w:cs="Times New Roman"/>
          <w:szCs w:val="21"/>
        </w:rPr>
        <w:t xml:space="preserve">[2] </w:t>
      </w:r>
      <w:r w:rsidRPr="00383128">
        <w:rPr>
          <w:rFonts w:ascii="Times New Roman" w:eastAsia="宋体" w:hAnsi="Times New Roman" w:cs="Times New Roman"/>
          <w:szCs w:val="21"/>
        </w:rPr>
        <w:t>刘振亚</w:t>
      </w:r>
      <w:r w:rsidRPr="00383128">
        <w:rPr>
          <w:rFonts w:ascii="Times New Roman" w:eastAsia="宋体" w:hAnsi="Times New Roman" w:cs="Times New Roman"/>
          <w:szCs w:val="21"/>
        </w:rPr>
        <w:t xml:space="preserve">. </w:t>
      </w:r>
      <w:r w:rsidRPr="00383128">
        <w:rPr>
          <w:rFonts w:ascii="Times New Roman" w:eastAsia="宋体" w:hAnsi="Times New Roman" w:cs="Times New Roman"/>
          <w:szCs w:val="21"/>
        </w:rPr>
        <w:t>国家电网公司信息化建设工程全书八大业务应用典型设计卷：营销业务应用篇营销业务模型设计（第二篇</w:t>
      </w:r>
      <w:r w:rsidRPr="00383128">
        <w:rPr>
          <w:rFonts w:ascii="Times New Roman" w:eastAsia="宋体" w:hAnsi="Times New Roman" w:cs="Times New Roman"/>
          <w:szCs w:val="21"/>
        </w:rPr>
        <w:t xml:space="preserve">  </w:t>
      </w:r>
      <w:r w:rsidRPr="00383128">
        <w:rPr>
          <w:rFonts w:ascii="Times New Roman" w:eastAsia="宋体" w:hAnsi="Times New Roman" w:cs="Times New Roman"/>
          <w:szCs w:val="21"/>
        </w:rPr>
        <w:t>客户关系管理分册）</w:t>
      </w:r>
      <w:r w:rsidRPr="00383128">
        <w:rPr>
          <w:rFonts w:ascii="Times New Roman" w:eastAsia="宋体" w:hAnsi="Times New Roman" w:cs="Times New Roman"/>
          <w:szCs w:val="21"/>
        </w:rPr>
        <w:t xml:space="preserve">[M]. </w:t>
      </w:r>
      <w:r w:rsidRPr="00383128">
        <w:rPr>
          <w:rFonts w:ascii="Times New Roman" w:eastAsia="宋体" w:hAnsi="Times New Roman" w:cs="Times New Roman"/>
          <w:szCs w:val="21"/>
        </w:rPr>
        <w:t>北京</w:t>
      </w:r>
      <w:r w:rsidRPr="00383128">
        <w:rPr>
          <w:rFonts w:ascii="Times New Roman" w:eastAsia="宋体" w:hAnsi="Times New Roman" w:cs="Times New Roman"/>
          <w:szCs w:val="21"/>
        </w:rPr>
        <w:t xml:space="preserve">: </w:t>
      </w:r>
      <w:r w:rsidRPr="00383128">
        <w:rPr>
          <w:rFonts w:ascii="Times New Roman" w:eastAsia="宋体" w:hAnsi="Times New Roman" w:cs="Times New Roman"/>
          <w:szCs w:val="21"/>
        </w:rPr>
        <w:t>中国电力出版社</w:t>
      </w:r>
      <w:r w:rsidRPr="00383128">
        <w:rPr>
          <w:rFonts w:ascii="Times New Roman" w:eastAsia="宋体" w:hAnsi="Times New Roman" w:cs="Times New Roman"/>
          <w:szCs w:val="21"/>
        </w:rPr>
        <w:t>, 2008.</w:t>
      </w:r>
    </w:p>
    <w:p w14:paraId="2F5EC3EC" w14:textId="513C9DC1" w:rsidR="00C85B15" w:rsidRPr="00383128" w:rsidRDefault="00C85B15" w:rsidP="00C85B15">
      <w:pPr>
        <w:pStyle w:val="a7"/>
      </w:pPr>
      <w:r w:rsidRPr="00383128">
        <w:rPr>
          <w:szCs w:val="21"/>
        </w:rPr>
        <w:t xml:space="preserve">[3] </w:t>
      </w:r>
      <w:r w:rsidRPr="00383128">
        <w:t xml:space="preserve">International Electrotechnical Commission. International standard IEC61968 [Z]. Geneva: IEC Central Office, 2013. </w:t>
      </w:r>
    </w:p>
    <w:p w14:paraId="773B6DC4" w14:textId="49F53B79" w:rsidR="00C85B15" w:rsidRPr="00383128" w:rsidRDefault="00C85B15" w:rsidP="00C85B15">
      <w:pPr>
        <w:pStyle w:val="a7"/>
      </w:pPr>
      <w:r w:rsidRPr="00383128">
        <w:t>[4] International Electrotechnical Commission. International standard IEC61970 [Z]. Geneva: IEC Central Office, 2013.</w:t>
      </w:r>
    </w:p>
    <w:p w14:paraId="7B0A69F8" w14:textId="337C0012" w:rsidR="000846AE" w:rsidRPr="00383128" w:rsidRDefault="00C85B15" w:rsidP="00C85B15">
      <w:pPr>
        <w:spacing w:line="240" w:lineRule="atLeast"/>
        <w:jc w:val="left"/>
        <w:rPr>
          <w:rFonts w:ascii="Times New Roman" w:eastAsia="宋体" w:hAnsi="Times New Roman" w:cs="Times New Roman"/>
          <w:szCs w:val="21"/>
        </w:rPr>
      </w:pPr>
      <w:r w:rsidRPr="00383128">
        <w:rPr>
          <w:rFonts w:ascii="Times New Roman" w:eastAsia="宋体" w:hAnsi="Times New Roman" w:cs="Times New Roman"/>
          <w:szCs w:val="21"/>
        </w:rPr>
        <w:t xml:space="preserve">[5] </w:t>
      </w:r>
      <w:r w:rsidRPr="00383128">
        <w:rPr>
          <w:rFonts w:ascii="Times New Roman" w:eastAsia="宋体" w:hAnsi="Times New Roman" w:cs="Times New Roman"/>
          <w:szCs w:val="21"/>
        </w:rPr>
        <w:t>国家电网公司企业标准《</w:t>
      </w:r>
      <w:r w:rsidRPr="00383128">
        <w:rPr>
          <w:rFonts w:ascii="Times New Roman" w:eastAsia="宋体" w:hAnsi="Times New Roman" w:cs="Times New Roman"/>
          <w:szCs w:val="21"/>
        </w:rPr>
        <w:t>Q/GDW11635-2016</w:t>
      </w:r>
      <w:r w:rsidRPr="00383128">
        <w:rPr>
          <w:rFonts w:ascii="Times New Roman" w:eastAsia="宋体" w:hAnsi="Times New Roman" w:cs="Times New Roman"/>
          <w:szCs w:val="21"/>
        </w:rPr>
        <w:t>关于</w:t>
      </w:r>
      <w:r w:rsidR="00B26034">
        <w:rPr>
          <w:rFonts w:ascii="Times New Roman" w:eastAsia="宋体" w:hAnsi="Times New Roman" w:cs="Times New Roman"/>
          <w:szCs w:val="21"/>
        </w:rPr>
        <w:t>工业电力用户</w:t>
      </w:r>
      <w:r w:rsidRPr="00383128">
        <w:rPr>
          <w:rFonts w:ascii="Times New Roman" w:eastAsia="宋体" w:hAnsi="Times New Roman" w:cs="Times New Roman"/>
          <w:szCs w:val="21"/>
        </w:rPr>
        <w:t>有序用电价值评估技术规范》</w:t>
      </w:r>
    </w:p>
    <w:p w14:paraId="52A7C9C0" w14:textId="47504FAE" w:rsidR="00C85B15" w:rsidRDefault="00C85B15" w:rsidP="00C85B15">
      <w:pPr>
        <w:spacing w:line="240" w:lineRule="atLeast"/>
        <w:jc w:val="left"/>
        <w:rPr>
          <w:rFonts w:ascii="Times New Roman" w:eastAsia="宋体" w:hAnsi="Times New Roman" w:cs="Times New Roman"/>
        </w:rPr>
      </w:pPr>
      <w:r w:rsidRPr="00383128">
        <w:rPr>
          <w:rFonts w:ascii="Times New Roman" w:eastAsia="宋体" w:hAnsi="Times New Roman" w:cs="Times New Roman"/>
          <w:szCs w:val="21"/>
        </w:rPr>
        <w:t xml:space="preserve">[6] </w:t>
      </w:r>
      <w:r w:rsidR="00383128" w:rsidRPr="00383128">
        <w:rPr>
          <w:rFonts w:ascii="Times New Roman" w:eastAsia="宋体" w:hAnsi="Times New Roman" w:cs="Times New Roman"/>
        </w:rPr>
        <w:t>国家电网公司</w:t>
      </w:r>
      <w:r w:rsidR="00383128" w:rsidRPr="00383128">
        <w:rPr>
          <w:rFonts w:ascii="Times New Roman" w:eastAsia="宋体" w:hAnsi="Times New Roman" w:cs="Times New Roman"/>
        </w:rPr>
        <w:t>.</w:t>
      </w:r>
      <w:r w:rsidR="00383128" w:rsidRPr="00383128">
        <w:rPr>
          <w:rFonts w:ascii="Times New Roman" w:eastAsia="宋体" w:hAnsi="Times New Roman" w:cs="Times New Roman"/>
        </w:rPr>
        <w:t>《国家电网公司碳达峰碳中和行动方案》</w:t>
      </w:r>
    </w:p>
    <w:sectPr w:rsidR="00C85B15" w:rsidSect="00611A3D">
      <w:pgSz w:w="11906" w:h="16838"/>
      <w:pgMar w:top="851" w:right="1418"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9C829" w14:textId="77777777" w:rsidR="00DB70EA" w:rsidRDefault="00DB70EA" w:rsidP="00611A3D">
      <w:r>
        <w:separator/>
      </w:r>
    </w:p>
  </w:endnote>
  <w:endnote w:type="continuationSeparator" w:id="0">
    <w:p w14:paraId="6D7BFC13" w14:textId="77777777" w:rsidR="00DB70EA" w:rsidRDefault="00DB70EA" w:rsidP="0061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7AD2F" w14:textId="77777777" w:rsidR="00DB70EA" w:rsidRDefault="00DB70EA" w:rsidP="00611A3D">
      <w:r>
        <w:separator/>
      </w:r>
    </w:p>
  </w:footnote>
  <w:footnote w:type="continuationSeparator" w:id="0">
    <w:p w14:paraId="1F676848" w14:textId="77777777" w:rsidR="00DB70EA" w:rsidRDefault="00DB70EA" w:rsidP="00611A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FF"/>
    <w:rsid w:val="00076320"/>
    <w:rsid w:val="000846AE"/>
    <w:rsid w:val="00084C03"/>
    <w:rsid w:val="000E6629"/>
    <w:rsid w:val="001264B5"/>
    <w:rsid w:val="00170BA6"/>
    <w:rsid w:val="001C59A7"/>
    <w:rsid w:val="00213DCD"/>
    <w:rsid w:val="002923BC"/>
    <w:rsid w:val="0037658E"/>
    <w:rsid w:val="00383128"/>
    <w:rsid w:val="005B1A9B"/>
    <w:rsid w:val="00611A3D"/>
    <w:rsid w:val="00707DE1"/>
    <w:rsid w:val="007604CC"/>
    <w:rsid w:val="00804FC6"/>
    <w:rsid w:val="008559DA"/>
    <w:rsid w:val="008E2018"/>
    <w:rsid w:val="008F0DFF"/>
    <w:rsid w:val="00A037D1"/>
    <w:rsid w:val="00B26034"/>
    <w:rsid w:val="00C02E5B"/>
    <w:rsid w:val="00C85B15"/>
    <w:rsid w:val="00C96F10"/>
    <w:rsid w:val="00CB6F43"/>
    <w:rsid w:val="00CF74C3"/>
    <w:rsid w:val="00DB70EA"/>
    <w:rsid w:val="00E636FD"/>
    <w:rsid w:val="00EC2CA8"/>
    <w:rsid w:val="00F33423"/>
    <w:rsid w:val="00F51EEF"/>
    <w:rsid w:val="00F920D0"/>
    <w:rsid w:val="00FF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A44A"/>
  <w15:chartTrackingRefBased/>
  <w15:docId w15:val="{D7815854-BF42-4A4D-82CC-CCFAF6F6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1A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1A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1A3D"/>
    <w:rPr>
      <w:sz w:val="18"/>
      <w:szCs w:val="18"/>
    </w:rPr>
  </w:style>
  <w:style w:type="paragraph" w:styleId="a5">
    <w:name w:val="footer"/>
    <w:basedOn w:val="a"/>
    <w:link w:val="a6"/>
    <w:uiPriority w:val="99"/>
    <w:unhideWhenUsed/>
    <w:rsid w:val="00611A3D"/>
    <w:pPr>
      <w:tabs>
        <w:tab w:val="center" w:pos="4153"/>
        <w:tab w:val="right" w:pos="8306"/>
      </w:tabs>
      <w:snapToGrid w:val="0"/>
      <w:jc w:val="left"/>
    </w:pPr>
    <w:rPr>
      <w:sz w:val="18"/>
      <w:szCs w:val="18"/>
    </w:rPr>
  </w:style>
  <w:style w:type="character" w:customStyle="1" w:styleId="a6">
    <w:name w:val="页脚 字符"/>
    <w:basedOn w:val="a0"/>
    <w:link w:val="a5"/>
    <w:uiPriority w:val="99"/>
    <w:rsid w:val="00611A3D"/>
    <w:rPr>
      <w:sz w:val="18"/>
      <w:szCs w:val="18"/>
    </w:rPr>
  </w:style>
  <w:style w:type="paragraph" w:styleId="a7">
    <w:name w:val="endnote text"/>
    <w:basedOn w:val="a"/>
    <w:link w:val="a8"/>
    <w:uiPriority w:val="99"/>
    <w:semiHidden/>
    <w:unhideWhenUsed/>
    <w:rsid w:val="00C85B15"/>
    <w:pPr>
      <w:snapToGrid w:val="0"/>
      <w:jc w:val="left"/>
    </w:pPr>
    <w:rPr>
      <w:rFonts w:ascii="Times New Roman" w:eastAsia="宋体" w:hAnsi="Times New Roman" w:cs="Times New Roman"/>
    </w:rPr>
  </w:style>
  <w:style w:type="character" w:customStyle="1" w:styleId="a8">
    <w:name w:val="尾注文本 字符"/>
    <w:basedOn w:val="a0"/>
    <w:link w:val="a7"/>
    <w:uiPriority w:val="99"/>
    <w:semiHidden/>
    <w:rsid w:val="00C85B15"/>
    <w:rPr>
      <w:rFonts w:ascii="Times New Roman" w:eastAsia="宋体" w:hAnsi="Times New Roman" w:cs="Times New Roman"/>
    </w:rPr>
  </w:style>
  <w:style w:type="character" w:styleId="a9">
    <w:name w:val="endnote reference"/>
    <w:uiPriority w:val="99"/>
    <w:semiHidden/>
    <w:unhideWhenUsed/>
    <w:rsid w:val="00C85B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Hongxu</dc:creator>
  <cp:keywords/>
  <dc:description/>
  <cp:lastModifiedBy>Yan Hongxu</cp:lastModifiedBy>
  <cp:revision>53</cp:revision>
  <dcterms:created xsi:type="dcterms:W3CDTF">2021-05-18T02:56:00Z</dcterms:created>
  <dcterms:modified xsi:type="dcterms:W3CDTF">2021-05-27T03:51:00Z</dcterms:modified>
</cp:coreProperties>
</file>