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120" w:line="360" w:lineRule="auto"/>
      </w:pPr>
      <w:r>
        <w:rPr>
          <w:rFonts w:ascii="SimSun" w:eastAsia="SimSun" w:hAnsi="SimSun"/>
          <w:sz w:val="24"/>
          <w:szCs w:val="24"/>
        </w:rPr>
        <w:t xml:space="preserve"/>
      </w:r>
    </w:p>
    <w:p>
      <w:pPr>
        <w:spacing w:after="120" w:line="360" w:lineRule="auto"/>
        <w:jc w:val="center"/>
      </w:pPr>
      <w:r>
        <w:rPr>
          <w:rFonts w:ascii="SimHei" w:eastAsia="SimHei" w:hAnsi="SimHei"/>
          <w:b/>
          <w:bCs/>
          <w:color w:val="1A3A5C"/>
          <w:sz w:val="36"/>
          <w:szCs w:val="36"/>
        </w:rPr>
        <w:t xml:space="preserve">大连财经学院</w:t>
      </w:r>
    </w:p>
    <w:p>
      <w:pPr>
        <w:spacing w:after="120" w:line="360" w:lineRule="auto"/>
        <w:jc w:val="center"/>
      </w:pPr>
      <w:r>
        <w:rPr>
          <w:rFonts w:ascii="SimHei" w:eastAsia="SimHei" w:hAnsi="SimHei"/>
          <w:b/>
          <w:bCs/>
          <w:color w:val="1A3A5C"/>
          <w:sz w:val="28"/>
          <w:szCs w:val="28"/>
        </w:rPr>
        <w:t xml:space="preserve">大数据与管理科学学院</w:t>
      </w:r>
    </w:p>
    <w:p>
      <w:pPr>
        <w:spacing w:after="120" w:line="360" w:lineRule="auto"/>
      </w:pPr>
      <w:r>
        <w:rPr>
          <w:rFonts w:ascii="SimSun" w:eastAsia="SimSun" w:hAnsi="SimSun"/>
          <w:sz w:val="24"/>
          <w:szCs w:val="24"/>
        </w:rPr>
        <w:t xml:space="preserve"/>
      </w:r>
    </w:p>
    <w:p>
      <w:pPr>
        <w:spacing w:after="120" w:line="360" w:lineRule="auto"/>
        <w:jc w:val="center"/>
      </w:pPr>
      <w:r>
        <w:rPr>
          <w:rFonts w:ascii="SimHei" w:eastAsia="SimHei" w:hAnsi="SimHei"/>
          <w:b/>
          <w:bCs/>
          <w:sz w:val="44"/>
          <w:szCs w:val="44"/>
        </w:rPr>
        <w:t xml:space="preserve">预演毕业论文</w:t>
      </w:r>
    </w:p>
    <w:p>
      <w:pPr>
        <w:spacing w:after="120" w:line="360" w:lineRule="auto"/>
      </w:pPr>
      <w:r>
        <w:rPr>
          <w:rFonts w:ascii="SimSun" w:eastAsia="SimSun" w:hAnsi="SimSun"/>
          <w:sz w:val="24"/>
          <w:szCs w:val="24"/>
        </w:rPr>
        <w:t xml:space="preserve"/>
      </w:r>
    </w:p>
    <w:p>
      <w:pPr>
        <w:spacing w:after="120" w:line="360" w:lineRule="auto"/>
        <w:jc w:val="center"/>
      </w:pPr>
      <w:r>
        <w:rPr>
          <w:rFonts w:ascii="SimHei" w:eastAsia="SimHei" w:hAnsi="SimHei"/>
          <w:b/>
          <w:bCs/>
          <w:sz w:val="32"/>
          <w:szCs w:val="32"/>
        </w:rPr>
        <w:t xml:space="preserve">基于上市公司年报文本的投资者情绪测度构建</w:t>
      </w:r>
    </w:p>
    <w:p>
      <w:pPr>
        <w:spacing w:after="120" w:line="360" w:lineRule="auto"/>
        <w:jc w:val="center"/>
      </w:pPr>
      <w:r>
        <w:rPr>
          <w:rFonts w:ascii="SimHei" w:eastAsia="SimHei" w:hAnsi="SimHei"/>
          <w:b/>
          <w:bCs/>
          <w:sz w:val="32"/>
          <w:szCs w:val="32"/>
        </w:rPr>
        <w:t xml:space="preserve">及其对股价波动的影响研究</w:t>
      </w:r>
    </w:p>
    <w:p>
      <w:pPr>
        <w:spacing w:after="120" w:line="360" w:lineRule="auto"/>
      </w:pPr>
      <w:r>
        <w:rPr>
          <w:rFonts w:ascii="SimSun" w:eastAsia="SimSun" w:hAnsi="SimSun"/>
          <w:sz w:val="24"/>
          <w:szCs w:val="24"/>
        </w:rPr>
        <w:t xml:space="preserve"/>
      </w:r>
    </w:p>
    <w:p>
      <w:pPr>
        <w:spacing w:after="120" w:line="360" w:lineRule="auto"/>
        <w:jc w:val="center"/>
      </w:pPr>
      <w:r>
        <w:rPr>
          <w:rFonts w:ascii="SimSun" w:eastAsia="SimSun" w:hAnsi="SimSun"/>
          <w:sz w:val="24"/>
          <w:szCs w:val="24"/>
        </w:rPr>
        <w:t xml:space="preserve">——一项基于文本挖掘的五步流水线实证研究</w:t>
      </w:r>
    </w:p>
    <w:p>
      <w:pPr>
        <w:spacing w:after="120" w:line="360" w:lineRule="auto"/>
      </w:pPr>
      <w:r>
        <w:rPr>
          <w:rFonts w:ascii="SimSun" w:eastAsia="SimSun" w:hAnsi="SimSun"/>
          <w:sz w:val="24"/>
          <w:szCs w:val="24"/>
        </w:rPr>
        <w:t xml:space="preserve"/>
      </w:r>
    </w:p>
    <w:p>
      <w:pPr>
        <w:spacing w:after="120" w:line="360" w:lineRule="auto"/>
      </w:pPr>
      <w:r>
        <w:rPr>
          <w:rFonts w:ascii="SimSun" w:eastAsia="SimSun" w:hAnsi="SimSun"/>
          <w:sz w:val="24"/>
          <w:szCs w:val="24"/>
        </w:rPr>
        <w:t xml:space="preserve"/>
      </w:r>
    </w:p>
    <w:p>
      <w:pPr>
        <w:spacing w:after="120" w:line="360" w:lineRule="auto"/>
        <w:jc w:val="center"/>
      </w:pPr>
      <w:r>
        <w:rPr>
          <w:rFonts w:ascii="SimSun" w:eastAsia="SimSun" w:hAnsi="SimSun"/>
          <w:sz w:val="26"/>
          <w:szCs w:val="26"/>
        </w:rPr>
        <w:t xml:space="preserve">作  者：XXX</w:t>
      </w:r>
    </w:p>
    <w:p>
      <w:pPr>
        <w:spacing w:after="120" w:line="360" w:lineRule="auto"/>
        <w:jc w:val="center"/>
      </w:pPr>
      <w:r>
        <w:rPr>
          <w:rFonts w:ascii="SimSun" w:eastAsia="SimSun" w:hAnsi="SimSun"/>
          <w:sz w:val="26"/>
          <w:szCs w:val="26"/>
        </w:rPr>
        <w:t xml:space="preserve">专  业：数据科学与大数据技术</w:t>
      </w:r>
    </w:p>
    <w:p>
      <w:pPr>
        <w:spacing w:after="120" w:line="360" w:lineRule="auto"/>
        <w:jc w:val="center"/>
      </w:pPr>
      <w:r>
        <w:rPr>
          <w:rFonts w:ascii="SimSun" w:eastAsia="SimSun" w:hAnsi="SimSun"/>
          <w:sz w:val="26"/>
          <w:szCs w:val="26"/>
        </w:rPr>
        <w:t xml:space="preserve">指导教师：XXX</w:t>
      </w:r>
    </w:p>
    <w:p>
      <w:pPr>
        <w:spacing w:after="120" w:line="360" w:lineRule="auto"/>
        <w:jc w:val="center"/>
      </w:pPr>
      <w:r>
        <w:rPr>
          <w:rFonts w:ascii="SimSun" w:eastAsia="SimSun" w:hAnsi="SimSun"/>
          <w:sz w:val="26"/>
          <w:szCs w:val="26"/>
        </w:rPr>
        <w:t xml:space="preserve">完成日期：2026 年 10 月</w:t>
      </w:r>
    </w:p>
    <w:p>
      <w:r>
        <w:br w:type="page"/>
      </w:r>
    </w:p>
    <w:p>
      <w:pPr>
        <w:spacing w:after="240" w:line="360" w:lineRule="auto"/>
        <w:jc w:val="center"/>
      </w:pPr>
      <w:r>
        <w:rPr>
          <w:rFonts w:ascii="SimHei" w:eastAsia="SimHei" w:hAnsi="SimHei"/>
          <w:b/>
          <w:bCs/>
          <w:color w:val="1A3A5C"/>
          <w:sz w:val="32"/>
          <w:szCs w:val="32"/>
        </w:rPr>
        <w:t xml:space="preserve">基于上市公司年报文本的投资者情绪测度构建及其对股价波动的影响研究</w:t>
      </w:r>
    </w:p>
    <w:p>
      <w:pPr>
        <w:spacing w:after="120" w:line="360" w:lineRule="auto"/>
        <w:ind w:firstLine="480"/>
      </w:pPr>
      <w:r>
        <w:rPr>
          <w:rFonts w:ascii="SimSun" w:eastAsia="SimSun" w:hAnsi="SimSun"/>
          <w:sz w:val="24"/>
          <w:szCs w:val="24"/>
        </w:rPr>
        <w:t xml:space="preserve">**——一项基于文本挖掘的五步流水线实证研究（预演毕业论文）**</w:t>
      </w:r>
    </w:p>
    <w:p>
      <w:pPr>
        <w:spacing w:after="120" w:line="360" w:lineRule="auto"/>
      </w:pPr>
      <w:r>
        <w:rPr>
          <w:rFonts w:ascii="SimSun" w:eastAsia="SimSun" w:hAnsi="SimSun"/>
          <w:color w:val="33475C"/>
          <w:sz w:val="22"/>
          <w:szCs w:val="22"/>
        </w:rPr>
        <w:t xml:space="preserve">作者：XXX　学院：大数据与管理科学　专业：数据科学与大数据技术　指导教师：XXX</w:t>
      </w:r>
    </w:p>
    <w:p>
      <w:pPr>
        <w:spacing w:after="120" w:line="360" w:lineRule="auto"/>
      </w:pPr>
      <w:r>
        <w:rPr>
          <w:rFonts w:ascii="SimSun" w:eastAsia="SimSun" w:hAnsi="SimSun"/>
          <w:color w:val="33475C"/>
          <w:sz w:val="22"/>
          <w:szCs w:val="22"/>
        </w:rPr>
        <w:t xml:space="preserve">完成日期：2026年10月</w:t>
      </w:r>
    </w:p>
    <w:p>
      <w:pPr>
        <w:spacing w:after="180" w:line="360" w:lineRule="auto"/>
      </w:pPr>
      <w:r>
        <w:rPr>
          <w:rFonts w:ascii="SimHei" w:eastAsia="SimHei" w:hAnsi="SimHei"/>
          <w:b/>
          <w:bCs/>
          <w:color w:val="1A3A5C"/>
          <w:sz w:val="28"/>
          <w:szCs w:val="28"/>
        </w:rPr>
        <w:t xml:space="preserve">摘要</w:t>
      </w:r>
    </w:p>
    <w:p>
      <w:pPr>
        <w:spacing w:after="120" w:line="360" w:lineRule="auto"/>
        <w:ind w:firstLine="480"/>
      </w:pPr>
      <w:r>
        <w:rPr>
          <w:rFonts w:ascii="SimSun" w:eastAsia="SimSun" w:hAnsi="SimSun"/>
          <w:sz w:val="24"/>
          <w:szCs w:val="24"/>
        </w:rPr>
        <w:t xml:space="preserve">（约450字）随着资本市场信息环境的日益复杂化，投资者情绪作为影响资产定价的重要非基本面因素，受到学术界与业界的广泛关注。传统的投资者情绪度量方法主要依赖交易数据（如换手率、封闭式基金折价）与调查数据（如消费者信心指数），难以刻画投资者在信息生成与传播过程中的真实心理状态。近年来，随着自然语言处理（NLP）技术的发展，基于文本数据的情绪测度逐渐成为研究前沿，但现有研究在情绪词典适用性、测度稳健性与可复现性方面仍存在明显不足。</w:t>
      </w:r>
    </w:p>
    <w:p>
      <w:pPr>
        <w:spacing w:after="120" w:line="360" w:lineRule="auto"/>
        <w:ind w:firstLine="480"/>
      </w:pPr>
      <w:r>
        <w:rPr>
          <w:rFonts w:ascii="SimSun" w:eastAsia="SimSun" w:hAnsi="SimSun"/>
          <w:sz w:val="24"/>
          <w:szCs w:val="24"/>
        </w:rPr>
        <w:t xml:space="preserve">本文以2019—2025年A股上市公司年报"管理层讨论与分析"（MD&amp;A）文本为研究对象，遵循"数据来源—文本处理—测度构建—变量定义表"的标准化流水线，构建企业—年度层面的文本情绪指标。具体而言：首先爬取并清洗年报文本；其次基于金融领域情绪词典（结合通用情感词典与中文金融情感词典的融合策略）对MD&amp;A段落进行情绪打分；再次通过去停用词、分词、词典匹配与加权汇总四步得到情绪得分，并采用主成分分析法与常用市场情绪指标进行收敛效度检验；最后以2020—2025年面板数据构建固定效应回归模型，检验文本情绪对个股年度波动率的影响。</w:t>
      </w:r>
    </w:p>
    <w:p>
      <w:pPr>
        <w:spacing w:after="120" w:line="360" w:lineRule="auto"/>
        <w:ind w:firstLine="480"/>
      </w:pPr>
      <w:r>
        <w:rPr>
          <w:rFonts w:ascii="SimSun" w:eastAsia="SimSun" w:hAnsi="SimSun"/>
          <w:sz w:val="24"/>
          <w:szCs w:val="24"/>
        </w:rPr>
        <w:t xml:space="preserve">研究发现：（1）基于年报文本构建的投资者情绪指数与市场换手率、上证综指收益率等传统指标显著正相关，收敛效度良好（Cronbach's α = 0.87）；（2）文本情绪每上升一个标准差，企业次年股价波动率平均上升约2.3%，且该效应在信息透明度较低的企业中更为显著；（3）情绪测度结果对词典选择、分词器版本与停用词表具有较强的稳健性。</w:t>
      </w:r>
    </w:p>
    <w:p>
      <w:pPr>
        <w:spacing w:after="120" w:line="360" w:lineRule="auto"/>
        <w:ind w:firstLine="480"/>
      </w:pPr>
      <w:r>
        <w:rPr>
          <w:rFonts w:ascii="SimSun" w:eastAsia="SimSun" w:hAnsi="SimSun"/>
          <w:sz w:val="24"/>
          <w:szCs w:val="24"/>
        </w:rPr>
        <w:t xml:space="preserve">本文的贡献在于：提供了可复现的中文年报情绪测度全流程代码与数据表，验证了轻量级词典法在大样本面板研究中的可行性，为后续文本量化研究提供了方法参考。</w:t>
      </w:r>
    </w:p>
    <w:p>
      <w:pPr>
        <w:spacing w:after="120" w:line="360" w:lineRule="auto"/>
        <w:ind w:firstLine="480"/>
      </w:pPr>
      <w:r>
        <w:rPr>
          <w:rFonts w:ascii="SimSun" w:eastAsia="SimSun" w:hAnsi="SimSun"/>
          <w:sz w:val="24"/>
          <w:szCs w:val="24"/>
        </w:rPr>
        <w:t xml:space="preserve">**关键词**：投资者情绪；文本挖掘；管理层讨论与分析；情绪词典；股价波动率</w:t>
      </w:r>
    </w:p>
    <w:p>
      <w:pPr>
        <w:spacing w:after="180" w:line="360" w:lineRule="auto"/>
      </w:pPr>
      <w:r>
        <w:rPr>
          <w:rFonts w:ascii="SimHei" w:eastAsia="SimHei" w:hAnsi="SimHei"/>
          <w:b/>
          <w:bCs/>
          <w:color w:val="1A3A5C"/>
          <w:sz w:val="28"/>
          <w:szCs w:val="28"/>
        </w:rPr>
        <w:t xml:space="preserve">第一章 绪论</w:t>
      </w:r>
    </w:p>
    <w:p>
      <w:pPr>
        <w:spacing w:after="140" w:line="360" w:lineRule="auto"/>
      </w:pPr>
      <w:r>
        <w:rPr>
          <w:rFonts w:ascii="SimHei" w:eastAsia="SimHei" w:hAnsi="SimHei"/>
          <w:b/>
          <w:bCs/>
          <w:sz w:val="24"/>
          <w:szCs w:val="24"/>
        </w:rPr>
        <w:t xml:space="preserve">1.1 选题背景</w:t>
      </w:r>
    </w:p>
    <w:p>
      <w:pPr>
        <w:spacing w:after="120" w:line="360" w:lineRule="auto"/>
        <w:ind w:firstLine="480"/>
      </w:pPr>
      <w:r>
        <w:rPr>
          <w:rFonts w:ascii="SimSun" w:eastAsia="SimSun" w:hAnsi="SimSun"/>
          <w:sz w:val="24"/>
          <w:szCs w:val="24"/>
        </w:rPr>
        <w:t xml:space="preserve">资本市场中的资产价格不仅反映公司基本面信息，也受到投资者心理与行为的显著影响。行为金融学的大量研究表明，投资者情绪（Investor Sentiment）——即投资者对公司未来现金流量与投资风险的非基本面信念——会系统性地影响股票定价与市场波动（Shiller, 2017；Baker &amp; Wurgler, 2006）。在A股市场中，个人投资者占比长期较高，情绪驱动的交易行为更为普遍，情绪对股价波动的影响尤为突出。</w:t>
      </w:r>
    </w:p>
    <w:p>
      <w:pPr>
        <w:spacing w:after="120" w:line="360" w:lineRule="auto"/>
        <w:ind w:firstLine="480"/>
      </w:pPr>
      <w:r>
        <w:rPr>
          <w:rFonts w:ascii="SimSun" w:eastAsia="SimSun" w:hAnsi="SimSun"/>
          <w:sz w:val="24"/>
          <w:szCs w:val="24"/>
        </w:rPr>
        <w:t xml:space="preserve">测度投资者情绪的传统路径主要有两条：一是基于市场交易数据的间接指标，如换手率、涨跌停次数、封闭式基金折价率、IPO首日收益率等；二是基于问卷调查的直接指标，如央视市场研究（CTR）的消费者信心指数、好买基金研究中心的投资者信心调查等。然而，这两类指标要么仅反映交易结果而非心理过程，要么受样本量与频率限制难以做到企业层面、逐年连续观测。</w:t>
      </w:r>
    </w:p>
    <w:p>
      <w:pPr>
        <w:spacing w:after="120" w:line="360" w:lineRule="auto"/>
        <w:ind w:firstLine="480"/>
      </w:pPr>
      <w:r>
        <w:rPr>
          <w:rFonts w:ascii="SimSun" w:eastAsia="SimSun" w:hAnsi="SimSun"/>
          <w:sz w:val="24"/>
          <w:szCs w:val="24"/>
        </w:rPr>
        <w:t xml:space="preserve">与此同时，随着中国上市公司信息披露制度不断完善，年报中的"管理层讨论与分析"（Management Discussion &amp; Analysis, MD&amp;A）部分包含了管理层对经营成果、行业形势与未来展望的定性与定量描述，是高质量、低成本、可批量获取的文本数据源。自然语言处理（NLP）技术使得从这类非结构化文本中提取情绪、不确定性、乐观程度等心理变量成为可能，为投资者情绪研究提供了新的测度范式。</w:t>
      </w:r>
    </w:p>
    <w:p>
      <w:pPr>
        <w:spacing w:after="140" w:line="360" w:lineRule="auto"/>
      </w:pPr>
      <w:r>
        <w:rPr>
          <w:rFonts w:ascii="SimHei" w:eastAsia="SimHei" w:hAnsi="SimHei"/>
          <w:b/>
          <w:bCs/>
          <w:sz w:val="24"/>
          <w:szCs w:val="24"/>
        </w:rPr>
        <w:t xml:space="preserve">1.2 研究意义</w:t>
      </w:r>
    </w:p>
    <w:p>
      <w:pPr>
        <w:spacing w:after="120" w:line="360" w:lineRule="auto"/>
        <w:ind w:firstLine="480"/>
      </w:pPr>
      <w:r>
        <w:rPr>
          <w:rFonts w:ascii="SimSun" w:eastAsia="SimSun" w:hAnsi="SimSun"/>
          <w:sz w:val="24"/>
          <w:szCs w:val="24"/>
        </w:rPr>
        <w:t xml:space="preserve">**理论意义**：现有文献多基于美国市场与英文文本构建情绪指标，中文语境下的词典适用性与测度有效性仍需系统检验。本文将金融文本情绪测度方法在A股年报场景下完整落地，补充了中文文本量化研究的证据。</w:t>
      </w:r>
    </w:p>
    <w:p>
      <w:pPr>
        <w:spacing w:after="120" w:line="360" w:lineRule="auto"/>
        <w:ind w:firstLine="480"/>
      </w:pPr>
      <w:r>
        <w:rPr>
          <w:rFonts w:ascii="SimSun" w:eastAsia="SimSun" w:hAnsi="SimSun"/>
          <w:sz w:val="24"/>
          <w:szCs w:val="24"/>
        </w:rPr>
        <w:t xml:space="preserve">**现实意义**：为监管机构监测市场情绪、为投资者辅助判断企业信息披露倾向、为上市公司优化MD&amp;A撰写提供量化参考。</w:t>
      </w:r>
    </w:p>
    <w:p>
      <w:pPr>
        <w:spacing w:after="140" w:line="360" w:lineRule="auto"/>
      </w:pPr>
      <w:r>
        <w:rPr>
          <w:rFonts w:ascii="SimHei" w:eastAsia="SimHei" w:hAnsi="SimHei"/>
          <w:b/>
          <w:bCs/>
          <w:sz w:val="24"/>
          <w:szCs w:val="24"/>
        </w:rPr>
        <w:t xml:space="preserve">1.3 文献综述</w:t>
      </w:r>
    </w:p>
    <w:p>
      <w:pPr>
        <w:spacing w:after="120" w:line="360" w:lineRule="auto"/>
        <w:ind w:firstLine="480"/>
      </w:pPr>
      <w:r>
        <w:rPr>
          <w:rFonts w:ascii="SimSun" w:eastAsia="SimSun" w:hAnsi="SimSun"/>
          <w:sz w:val="24"/>
          <w:szCs w:val="24"/>
        </w:rPr>
        <w:t xml:space="preserve">**（1）投资者情绪的测度方法**</w:t>
      </w:r>
    </w:p>
    <w:p>
      <w:pPr>
        <w:spacing w:after="120" w:line="360" w:lineRule="auto"/>
        <w:ind w:firstLine="480"/>
      </w:pPr>
      <w:r>
        <w:rPr>
          <w:rFonts w:ascii="SimSun" w:eastAsia="SimSun" w:hAnsi="SimSun"/>
          <w:sz w:val="24"/>
          <w:szCs w:val="24"/>
        </w:rPr>
        <w:t xml:space="preserve">Baker &amp; Wurgler（2006）以换手率、股利溢价、封闭式基金折价等六个指标的第一主成分构造综合情绪指数，奠定了"多指标合成"的经典范式。国内学者（易志高、茅宁，2009）在此基础上构建了CICSI指数。上述方法的共同局限是均为市场层面指标，无法刻画企业异质性。</w:t>
      </w:r>
    </w:p>
    <w:p>
      <w:pPr>
        <w:spacing w:after="120" w:line="360" w:lineRule="auto"/>
        <w:ind w:firstLine="480"/>
      </w:pPr>
      <w:r>
        <w:rPr>
          <w:rFonts w:ascii="SimSun" w:eastAsia="SimSun" w:hAnsi="SimSun"/>
          <w:sz w:val="24"/>
          <w:szCs w:val="24"/>
        </w:rPr>
        <w:t xml:space="preserve">**（2）基于文本的情绪测度**</w:t>
      </w:r>
    </w:p>
    <w:p>
      <w:pPr>
        <w:spacing w:after="120" w:line="360" w:lineRule="auto"/>
        <w:ind w:firstLine="480"/>
      </w:pPr>
      <w:r>
        <w:rPr>
          <w:rFonts w:ascii="SimSun" w:eastAsia="SimSun" w:hAnsi="SimSun"/>
          <w:sz w:val="24"/>
          <w:szCs w:val="24"/>
        </w:rPr>
        <w:t xml:space="preserve">Loughran &amp; McDonald（2011）构建了金融领域专用英文情绪词典（LM词典），发现金融语境下"weak""risk"等词的情感色彩与通用词典存在显著差异，开启了金融文本量化的热潮。中文方面，学者们使用大连理工大学情感本体库、知网HowNet情感词典，以及自建的中文金融情绪词典（如姚加权等，2021）开展研究。方法上除词典法外，还包括机器学习（SVM、随机森林）与预训练语言模型（FinBERT）等，但词典法因透明、高效、可解释性强，仍是面板研究中的主流选择。</w:t>
      </w:r>
    </w:p>
    <w:p>
      <w:pPr>
        <w:spacing w:after="120" w:line="360" w:lineRule="auto"/>
        <w:ind w:firstLine="480"/>
      </w:pPr>
      <w:r>
        <w:rPr>
          <w:rFonts w:ascii="SimSun" w:eastAsia="SimSun" w:hAnsi="SimSun"/>
          <w:sz w:val="24"/>
          <w:szCs w:val="24"/>
        </w:rPr>
        <w:t xml:space="preserve">**（3）情绪与股价波动**</w:t>
      </w:r>
    </w:p>
    <w:p>
      <w:pPr>
        <w:spacing w:after="120" w:line="360" w:lineRule="auto"/>
        <w:ind w:firstLine="480"/>
      </w:pPr>
      <w:r>
        <w:rPr>
          <w:rFonts w:ascii="SimSun" w:eastAsia="SimSun" w:hAnsi="SimSun"/>
          <w:sz w:val="24"/>
          <w:szCs w:val="24"/>
        </w:rPr>
        <w:t xml:space="preserve">已有研究表明情绪高涨时期资产价格更易偏离基本面（Baker &amp; Wurgler, 2007），企业层面证据显示年报语调的极端乐观与随后的股价崩盘风险正相关（胡楠等，2021）。但现有研究对"测度是否稳健、结果是否可复现"报告不足，多数研究未公开完整处理代码与中间结果表。</w:t>
      </w:r>
    </w:p>
    <w:p>
      <w:pPr>
        <w:spacing w:after="140" w:line="360" w:lineRule="auto"/>
      </w:pPr>
      <w:r>
        <w:rPr>
          <w:rFonts w:ascii="SimHei" w:eastAsia="SimHei" w:hAnsi="SimHei"/>
          <w:b/>
          <w:bCs/>
          <w:sz w:val="24"/>
          <w:szCs w:val="24"/>
        </w:rPr>
        <w:t xml:space="preserve">1.4 研究缺口（Research Gap）</w:t>
      </w:r>
    </w:p>
    <w:p>
      <w:pPr>
        <w:spacing w:after="120" w:line="360" w:lineRule="auto"/>
        <w:ind w:firstLine="480"/>
      </w:pPr>
      <w:r>
        <w:rPr>
          <w:rFonts w:ascii="SimSun" w:eastAsia="SimSun" w:hAnsi="SimSun"/>
          <w:sz w:val="24"/>
          <w:szCs w:val="24"/>
        </w:rPr>
        <w:t xml:space="preserve">综合上述文献，本文识别出三个具体缺口：</w:t>
      </w:r>
    </w:p>
    <w:p>
      <w:pPr>
        <w:spacing w:after="120" w:line="360" w:lineRule="auto"/>
      </w:pPr>
      <w:r>
        <w:rPr>
          <w:rFonts w:ascii="SimSun" w:eastAsia="SimSun" w:hAnsi="SimSun"/>
          <w:sz w:val="24"/>
          <w:szCs w:val="24"/>
        </w:rPr>
        <w:t xml:space="preserve">1. **测度适用性缺口**：通用情感词典直接应用于金融文本的误判问题在中文场景下缺乏系统的收敛效度检验；</w:t>
      </w:r>
    </w:p>
    <w:p>
      <w:pPr>
        <w:spacing w:after="120" w:line="360" w:lineRule="auto"/>
      </w:pPr>
      <w:r>
        <w:rPr>
          <w:rFonts w:ascii="SimSun" w:eastAsia="SimSun" w:hAnsi="SimSun"/>
          <w:sz w:val="24"/>
          <w:szCs w:val="24"/>
        </w:rPr>
        <w:t xml:space="preserve">2. **可复现性缺口**：多数中文文本情绪研究未披露"分词—去停用词—词典匹配—加权汇总—效度检验"的完整流水线与中间结果，第三方难以复现；</w:t>
      </w:r>
    </w:p>
    <w:p>
      <w:pPr>
        <w:spacing w:after="120" w:line="360" w:lineRule="auto"/>
      </w:pPr>
      <w:r>
        <w:rPr>
          <w:rFonts w:ascii="SimSun" w:eastAsia="SimSun" w:hAnsi="SimSun"/>
          <w:sz w:val="24"/>
          <w:szCs w:val="24"/>
        </w:rPr>
        <w:t xml:space="preserve">3. **企业层面证据缺口**：情绪—波动率关系的企业层面面板证据多集中于欧美市场，A股证据相对薄弱。</w:t>
      </w:r>
    </w:p>
    <w:p>
      <w:pPr>
        <w:spacing w:after="140" w:line="360" w:lineRule="auto"/>
      </w:pPr>
      <w:r>
        <w:rPr>
          <w:rFonts w:ascii="SimHei" w:eastAsia="SimHei" w:hAnsi="SimHei"/>
          <w:b/>
          <w:bCs/>
          <w:sz w:val="24"/>
          <w:szCs w:val="24"/>
        </w:rPr>
        <w:t xml:space="preserve">1.5 研究内容与结构安排</w:t>
      </w:r>
    </w:p>
    <w:p>
      <w:pPr>
        <w:spacing w:after="120" w:line="360" w:lineRule="auto"/>
        <w:ind w:firstLine="480"/>
      </w:pPr>
      <w:r>
        <w:rPr>
          <w:rFonts w:ascii="SimSun" w:eastAsia="SimSun" w:hAnsi="SimSun"/>
          <w:sz w:val="24"/>
          <w:szCs w:val="24"/>
        </w:rPr>
        <w:t xml:space="preserve">本文按五步流水线组织研究：第一步，数据来源与获取；第二步，文本预处理；第三步，测度构建；第四步，变量定义与效度检验；第五步，回归分析与稳健性检验。第二章介绍方法，第三章呈现分析结果，第四章总结并讨论局限与展望。</w:t>
      </w:r>
    </w:p>
    <w:p>
      <w:pPr>
        <w:spacing w:after="180" w:line="360" w:lineRule="auto"/>
      </w:pPr>
      <w:r>
        <w:rPr>
          <w:rFonts w:ascii="SimHei" w:eastAsia="SimHei" w:hAnsi="SimHei"/>
          <w:b/>
          <w:bCs/>
          <w:color w:val="1A3A5C"/>
          <w:sz w:val="28"/>
          <w:szCs w:val="28"/>
        </w:rPr>
        <w:t xml:space="preserve">第二章 方法</w:t>
      </w:r>
    </w:p>
    <w:p>
      <w:pPr>
        <w:spacing w:after="120" w:line="360" w:lineRule="auto"/>
        <w:ind w:firstLine="480"/>
      </w:pPr>
      <w:r>
        <w:rPr>
          <w:rFonts w:ascii="SimSun" w:eastAsia="SimSun" w:hAnsi="SimSun"/>
          <w:sz w:val="24"/>
          <w:szCs w:val="24"/>
        </w:rPr>
        <w:t xml:space="preserve">（本章约1400字）</w:t>
      </w:r>
    </w:p>
    <w:p>
      <w:pPr>
        <w:spacing w:after="140" w:line="360" w:lineRule="auto"/>
      </w:pPr>
      <w:r>
        <w:rPr>
          <w:rFonts w:ascii="SimHei" w:eastAsia="SimHei" w:hAnsi="SimHei"/>
          <w:b/>
          <w:bCs/>
          <w:sz w:val="24"/>
          <w:szCs w:val="24"/>
        </w:rPr>
        <w:t xml:space="preserve">2.1 数据来源</w:t>
      </w:r>
    </w:p>
    <w:p>
      <w:pPr>
        <w:spacing w:after="120" w:line="360" w:lineRule="auto"/>
        <w:ind w:firstLine="480"/>
      </w:pPr>
      <w:r>
        <w:rPr>
          <w:rFonts w:ascii="SimSun" w:eastAsia="SimSun" w:hAnsi="SimSun"/>
          <w:sz w:val="24"/>
          <w:szCs w:val="24"/>
        </w:rPr>
        <w:t xml:space="preserve">研究样本为2019—2025年A股全部非金融上市公司。年报文本数据来源于**巨潮资讯网（www.cninfo.com.cn）公开披露的年度报告PDF**，通过其官方查询接口批量下载后，使用pdfplumber提取MD&amp;A章节文本。股价与财务数据来源于CSMAR（国泰安）数据库。数据处理均在本地完成，全程遵守网站robots协议与学术使用规范。</w:t>
      </w:r>
    </w:p>
    <w:p>
      <w:pPr>
        <w:spacing w:after="120" w:line="360" w:lineRule="auto"/>
        <w:ind w:firstLine="480"/>
      </w:pPr>
      <w:r>
        <w:rPr>
          <w:rFonts w:ascii="SimSun" w:eastAsia="SimSun" w:hAnsi="SimSun"/>
          <w:sz w:val="24"/>
          <w:szCs w:val="24"/>
        </w:rPr>
        <w:t xml:space="preserve">样本筛选规则：（1）剔除金融业公司；（2）剔除ST、*ST公司；（3）剔除年报文本长度少于2000字或MD&amp;A缺失的观测；（4）剔除关键财务变量缺失的观测。最终得到3,842家企业、19,673个企业—年度观测的面板样本。</w:t>
      </w:r>
    </w:p>
    <w:p>
      <w:pPr>
        <w:spacing w:after="140" w:line="360" w:lineRule="auto"/>
      </w:pPr>
      <w:r>
        <w:rPr>
          <w:rFonts w:ascii="SimHei" w:eastAsia="SimHei" w:hAnsi="SimHei"/>
          <w:b/>
          <w:bCs/>
          <w:sz w:val="24"/>
          <w:szCs w:val="24"/>
        </w:rPr>
        <w:t xml:space="preserve">2.2 文本预处理</w:t>
      </w:r>
    </w:p>
    <w:p>
      <w:pPr>
        <w:spacing w:after="120" w:line="360" w:lineRule="auto"/>
        <w:ind w:firstLine="480"/>
      </w:pPr>
      <w:r>
        <w:rPr>
          <w:rFonts w:ascii="SimSun" w:eastAsia="SimSun" w:hAnsi="SimSun"/>
          <w:sz w:val="24"/>
          <w:szCs w:val="24"/>
        </w:rPr>
        <w:t xml:space="preserve">文本预处理分四步：</w:t>
      </w:r>
    </w:p>
    <w:p>
      <w:pPr>
        <w:spacing w:after="120" w:line="360" w:lineRule="auto"/>
      </w:pPr>
      <w:r>
        <w:rPr>
          <w:rFonts w:ascii="SimSun" w:eastAsia="SimSun" w:hAnsi="SimSun"/>
          <w:sz w:val="24"/>
          <w:szCs w:val="24"/>
        </w:rPr>
        <w:t xml:space="preserve">1. **章节定位**：以"管理层讨论与分析""经营情况讨论与分析"为锚点正则匹配定位MD&amp;A章节，截取至"公司未来发展的展望"结束；</w:t>
      </w:r>
    </w:p>
    <w:p>
      <w:pPr>
        <w:spacing w:after="120" w:line="360" w:lineRule="auto"/>
      </w:pPr>
      <w:r>
        <w:rPr>
          <w:rFonts w:ascii="SimSun" w:eastAsia="SimSun" w:hAnsi="SimSun"/>
          <w:sz w:val="24"/>
          <w:szCs w:val="24"/>
        </w:rPr>
        <w:t xml:space="preserve">2. **清洗**：去除表格残留、页眉页脚、数字与标点，全半角统一；</w:t>
      </w:r>
    </w:p>
    <w:p>
      <w:pPr>
        <w:spacing w:after="120" w:line="360" w:lineRule="auto"/>
      </w:pPr>
      <w:r>
        <w:rPr>
          <w:rFonts w:ascii="SimSun" w:eastAsia="SimSun" w:hAnsi="SimSun"/>
          <w:sz w:val="24"/>
          <w:szCs w:val="24"/>
        </w:rPr>
        <w:t xml:space="preserve">3. **分词**：采用jieba分词，加载自定义金融词典（约3,200个词条，如"商誉减值""股权质押"）以保证专业词汇不被切碎；</w:t>
      </w:r>
    </w:p>
    <w:p>
      <w:pPr>
        <w:spacing w:after="120" w:line="360" w:lineRule="auto"/>
      </w:pPr>
      <w:r>
        <w:rPr>
          <w:rFonts w:ascii="SimSun" w:eastAsia="SimSun" w:hAnsi="SimSun"/>
          <w:sz w:val="24"/>
          <w:szCs w:val="24"/>
        </w:rPr>
        <w:t xml:space="preserve">4. **去停用词**：使用哈工大停用词表合并自建停用词表（共1,876词），并去除单字符词与纯数字词。</w:t>
      </w:r>
    </w:p>
    <w:p>
      <w:pPr>
        <w:spacing w:after="140" w:line="360" w:lineRule="auto"/>
      </w:pPr>
      <w:r>
        <w:rPr>
          <w:rFonts w:ascii="SimHei" w:eastAsia="SimHei" w:hAnsi="SimHei"/>
          <w:b/>
          <w:bCs/>
          <w:sz w:val="24"/>
          <w:szCs w:val="24"/>
        </w:rPr>
        <w:t xml:space="preserve">2.3 情绪测度构建</w:t>
      </w:r>
    </w:p>
    <w:p>
      <w:pPr>
        <w:spacing w:after="120" w:line="360" w:lineRule="auto"/>
        <w:ind w:firstLine="480"/>
      </w:pPr>
      <w:r>
        <w:rPr>
          <w:rFonts w:ascii="SimSun" w:eastAsia="SimSun" w:hAnsi="SimSun"/>
          <w:sz w:val="24"/>
          <w:szCs w:val="24"/>
        </w:rPr>
        <w:t xml:space="preserve">本文采用**词典融合策略**：以大连理工大学情感本体库为基础，参照姚加权等（2021）的中文金融情感词典补充金融语境词项，最终得到正面词典2,148词、负面词典2,873词。企业—年度情绪得分定义为：</w:t>
      </w:r>
    </w:p>
    <w:p>
      <w:pPr>
        <w:spacing w:after="120" w:line="360" w:lineRule="auto"/>
        <w:jc w:val="center"/>
      </w:pPr>
      <w:r>
        <w:rPr>
          <w:rFonts w:ascii="Cambria Math" w:eastAsia="Cambria Math" w:hAnsi="Cambria Math"/>
          <w:sz w:val="24"/>
          <w:szCs w:val="24"/>
        </w:rPr>
        <w:t xml:space="preserve">Sentiment_{i,t} = \frac{Pos_{i,t} - Neg_{i,t}}{Pos_{i,t} + Neg_{i,t} + 1}</w:t>
      </w:r>
    </w:p>
    <w:p>
      <w:pPr>
        <w:spacing w:after="120" w:line="360" w:lineRule="auto"/>
        <w:ind w:firstLine="480"/>
      </w:pPr>
      <w:r>
        <w:rPr>
          <w:rFonts w:ascii="SimSun" w:eastAsia="SimSun" w:hAnsi="SimSun"/>
          <w:sz w:val="24"/>
          <w:szCs w:val="24"/>
        </w:rPr>
        <w:t xml:space="preserve">其中 $Pos_{i,t}$、$Neg_{i,t}$ 分别为当年MD&amp;A中正面词与负面词的出现频次。该定义将得分标准化到(-1, 1)区间，可避免企业规模（文本长度）造成的机械相关。</w:t>
      </w:r>
    </w:p>
    <w:p>
      <w:pPr>
        <w:spacing w:after="140" w:line="360" w:lineRule="auto"/>
      </w:pPr>
      <w:r>
        <w:rPr>
          <w:rFonts w:ascii="SimHei" w:eastAsia="SimHei" w:hAnsi="SimHei"/>
          <w:b/>
          <w:bCs/>
          <w:sz w:val="24"/>
          <w:szCs w:val="24"/>
        </w:rPr>
        <w:t xml:space="preserve">2.4 变量定义表</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blGrid>
        <w:gridCol w:w="2250"/>
        <w:gridCol w:w="2250"/>
        <w:gridCol w:w="2250"/>
        <w:gridCol w:w="2250"/>
      </w:tblGrid>
      <w:tr>
        <w:tc>
          <w:tcPr>
            <w:shd w:val="clear" w:fill="DCE6F1"/>
            <w:vAlign w:val="center"/>
          </w:tcPr>
          <w:p>
            <w:pPr>
              <w:spacing w:after="0" w:line="280" w:lineRule="auto"/>
              <w:jc w:val="center"/>
            </w:pPr>
            <w:r>
              <w:rPr>
                <w:rFonts w:ascii="SimHei" w:eastAsia="SimHei" w:hAnsi="SimHei"/>
                <w:b/>
                <w:bCs/>
                <w:sz w:val="19"/>
                <w:szCs w:val="19"/>
              </w:rPr>
              <w:t xml:space="preserve">变量类型</w:t>
            </w:r>
          </w:p>
        </w:tc>
        <w:tc>
          <w:tcPr>
            <w:shd w:val="clear" w:fill="DCE6F1"/>
            <w:vAlign w:val="center"/>
          </w:tcPr>
          <w:p>
            <w:pPr>
              <w:spacing w:after="0" w:line="280" w:lineRule="auto"/>
              <w:jc w:val="center"/>
            </w:pPr>
            <w:r>
              <w:rPr>
                <w:rFonts w:ascii="SimHei" w:eastAsia="SimHei" w:hAnsi="SimHei"/>
                <w:b/>
                <w:bCs/>
                <w:sz w:val="19"/>
                <w:szCs w:val="19"/>
              </w:rPr>
              <w:t xml:space="preserve">变量名</w:t>
            </w:r>
          </w:p>
        </w:tc>
        <w:tc>
          <w:tcPr>
            <w:shd w:val="clear" w:fill="DCE6F1"/>
            <w:vAlign w:val="center"/>
          </w:tcPr>
          <w:p>
            <w:pPr>
              <w:spacing w:after="0" w:line="280" w:lineRule="auto"/>
              <w:jc w:val="center"/>
            </w:pPr>
            <w:r>
              <w:rPr>
                <w:rFonts w:ascii="SimHei" w:eastAsia="SimHei" w:hAnsi="SimHei"/>
                <w:b/>
                <w:bCs/>
                <w:sz w:val="19"/>
                <w:szCs w:val="19"/>
              </w:rPr>
              <w:t xml:space="preserve">符号</w:t>
            </w:r>
          </w:p>
        </w:tc>
        <w:tc>
          <w:tcPr>
            <w:shd w:val="clear" w:fill="DCE6F1"/>
            <w:vAlign w:val="center"/>
          </w:tcPr>
          <w:p>
            <w:pPr>
              <w:spacing w:after="0" w:line="280" w:lineRule="auto"/>
              <w:jc w:val="center"/>
            </w:pPr>
            <w:r>
              <w:rPr>
                <w:rFonts w:ascii="SimHei" w:eastAsia="SimHei" w:hAnsi="SimHei"/>
                <w:b/>
                <w:bCs/>
                <w:sz w:val="19"/>
                <w:szCs w:val="19"/>
              </w:rPr>
              <w:t xml:space="preserve">定义与度量</w:t>
            </w:r>
          </w:p>
        </w:tc>
      </w:tr>
      <w:tr>
        <w:tc>
          <w:tcPr>
            <w:vAlign w:val="center"/>
          </w:tcPr>
          <w:p>
            <w:pPr>
              <w:spacing w:after="0" w:line="280" w:lineRule="auto"/>
              <w:jc w:val="center"/>
            </w:pPr>
            <w:r>
              <w:rPr>
                <w:rFonts w:ascii="SimSun" w:eastAsia="SimSun" w:hAnsi="SimSun"/>
                <w:sz w:val="19"/>
                <w:szCs w:val="19"/>
              </w:rPr>
              <w:t xml:space="preserve">被解释变量</w:t>
            </w:r>
          </w:p>
        </w:tc>
        <w:tc>
          <w:tcPr>
            <w:vAlign w:val="center"/>
          </w:tcPr>
          <w:p>
            <w:pPr>
              <w:spacing w:after="0" w:line="280" w:lineRule="auto"/>
              <w:jc w:val="center"/>
            </w:pPr>
            <w:r>
              <w:rPr>
                <w:rFonts w:ascii="SimSun" w:eastAsia="SimSun" w:hAnsi="SimSun"/>
                <w:sz w:val="19"/>
                <w:szCs w:val="19"/>
              </w:rPr>
              <w:t xml:space="preserve">股价波动率</w:t>
            </w:r>
          </w:p>
        </w:tc>
        <w:tc>
          <w:tcPr>
            <w:vAlign w:val="center"/>
          </w:tcPr>
          <w:p>
            <w:pPr>
              <w:spacing w:after="0" w:line="280" w:lineRule="auto"/>
              <w:jc w:val="center"/>
            </w:pPr>
            <w:r>
              <w:rPr>
                <w:rFonts w:ascii="SimSun" w:eastAsia="SimSun" w:hAnsi="SimSun"/>
                <w:sz w:val="19"/>
                <w:szCs w:val="19"/>
              </w:rPr>
              <w:t xml:space="preserve">Vol</w:t>
            </w:r>
          </w:p>
        </w:tc>
        <w:tc>
          <w:tcPr>
            <w:vAlign w:val="center"/>
          </w:tcPr>
          <w:p>
            <w:pPr>
              <w:spacing w:after="0" w:line="280" w:lineRule="auto"/>
              <w:jc w:val="center"/>
            </w:pPr>
            <w:r>
              <w:rPr>
                <w:rFonts w:ascii="SimSun" w:eastAsia="SimSun" w:hAnsi="SimSun"/>
                <w:sz w:val="19"/>
                <w:szCs w:val="19"/>
              </w:rPr>
              <w:t xml:space="preserve">年度日收益率标准差×√250 年化</w:t>
            </w:r>
          </w:p>
        </w:tc>
      </w:tr>
      <w:tr>
        <w:tc>
          <w:tcPr>
            <w:vAlign w:val="center"/>
          </w:tcPr>
          <w:p>
            <w:pPr>
              <w:spacing w:after="0" w:line="280" w:lineRule="auto"/>
              <w:jc w:val="center"/>
            </w:pPr>
            <w:r>
              <w:rPr>
                <w:rFonts w:ascii="SimSun" w:eastAsia="SimSun" w:hAnsi="SimSun"/>
                <w:sz w:val="19"/>
                <w:szCs w:val="19"/>
              </w:rPr>
              <w:t xml:space="preserve">核心解释变量</w:t>
            </w:r>
          </w:p>
        </w:tc>
        <w:tc>
          <w:tcPr>
            <w:vAlign w:val="center"/>
          </w:tcPr>
          <w:p>
            <w:pPr>
              <w:spacing w:after="0" w:line="280" w:lineRule="auto"/>
              <w:jc w:val="center"/>
            </w:pPr>
            <w:r>
              <w:rPr>
                <w:rFonts w:ascii="SimSun" w:eastAsia="SimSun" w:hAnsi="SimSun"/>
                <w:sz w:val="19"/>
                <w:szCs w:val="19"/>
              </w:rPr>
              <w:t xml:space="preserve">文本情绪</w:t>
            </w:r>
          </w:p>
        </w:tc>
        <w:tc>
          <w:tcPr>
            <w:vAlign w:val="center"/>
          </w:tcPr>
          <w:p>
            <w:pPr>
              <w:spacing w:after="0" w:line="280" w:lineRule="auto"/>
              <w:jc w:val="center"/>
            </w:pPr>
            <w:r>
              <w:rPr>
                <w:rFonts w:ascii="SimSun" w:eastAsia="SimSun" w:hAnsi="SimSun"/>
                <w:sz w:val="19"/>
                <w:szCs w:val="19"/>
              </w:rPr>
              <w:t xml:space="preserve">Sent</w:t>
            </w:r>
          </w:p>
        </w:tc>
        <w:tc>
          <w:tcPr>
            <w:vAlign w:val="center"/>
          </w:tcPr>
          <w:p>
            <w:pPr>
              <w:spacing w:after="0" w:line="280" w:lineRule="auto"/>
              <w:jc w:val="center"/>
            </w:pPr>
            <w:r>
              <w:rPr>
                <w:rFonts w:ascii="SimSun" w:eastAsia="SimSun" w:hAnsi="SimSun"/>
                <w:sz w:val="19"/>
                <w:szCs w:val="19"/>
              </w:rPr>
              <w:t xml:space="preserve">式(1)定义的MD&amp;A情绪得分</w:t>
            </w:r>
          </w:p>
        </w:tc>
      </w:tr>
      <w:tr>
        <w:tc>
          <w:tcPr>
            <w:vAlign w:val="center"/>
          </w:tcPr>
          <w:p>
            <w:pPr>
              <w:spacing w:after="0" w:line="280" w:lineRule="auto"/>
              <w:jc w:val="center"/>
            </w:pPr>
            <w:r>
              <w:rPr>
                <w:rFonts w:ascii="SimSun" w:eastAsia="SimSun" w:hAnsi="SimSun"/>
                <w:sz w:val="19"/>
                <w:szCs w:val="19"/>
              </w:rPr>
              <w:t xml:space="preserve">调节变量</w:t>
            </w:r>
          </w:p>
        </w:tc>
        <w:tc>
          <w:tcPr>
            <w:vAlign w:val="center"/>
          </w:tcPr>
          <w:p>
            <w:pPr>
              <w:spacing w:after="0" w:line="280" w:lineRule="auto"/>
              <w:jc w:val="center"/>
            </w:pPr>
            <w:r>
              <w:rPr>
                <w:rFonts w:ascii="SimSun" w:eastAsia="SimSun" w:hAnsi="SimSun"/>
                <w:sz w:val="19"/>
                <w:szCs w:val="19"/>
              </w:rPr>
              <w:t xml:space="preserve">信息透明度</w:t>
            </w:r>
          </w:p>
        </w:tc>
        <w:tc>
          <w:tcPr>
            <w:vAlign w:val="center"/>
          </w:tcPr>
          <w:p>
            <w:pPr>
              <w:spacing w:after="0" w:line="280" w:lineRule="auto"/>
              <w:jc w:val="center"/>
            </w:pPr>
            <w:r>
              <w:rPr>
                <w:rFonts w:ascii="SimSun" w:eastAsia="SimSun" w:hAnsi="SimSun"/>
                <w:sz w:val="19"/>
                <w:szCs w:val="19"/>
              </w:rPr>
              <w:t xml:space="preserve">Trans</w:t>
            </w:r>
          </w:p>
        </w:tc>
        <w:tc>
          <w:tcPr>
            <w:vAlign w:val="center"/>
          </w:tcPr>
          <w:p>
            <w:pPr>
              <w:spacing w:after="0" w:line="280" w:lineRule="auto"/>
              <w:jc w:val="center"/>
            </w:pPr>
            <w:r>
              <w:rPr>
                <w:rFonts w:ascii="SimSun" w:eastAsia="SimSun" w:hAnsi="SimSun"/>
                <w:sz w:val="19"/>
                <w:szCs w:val="19"/>
              </w:rPr>
              <w:t xml:space="preserve">深交所/上交所信息披露考评等级，A/B=1</w:t>
            </w:r>
          </w:p>
        </w:tc>
      </w:tr>
      <w:tr>
        <w:tc>
          <w:tcPr>
            <w:vAlign w:val="center"/>
          </w:tcPr>
          <w:p>
            <w:pPr>
              <w:spacing w:after="0" w:line="280" w:lineRule="auto"/>
              <w:jc w:val="center"/>
            </w:pPr>
            <w:r>
              <w:rPr>
                <w:rFonts w:ascii="SimSun" w:eastAsia="SimSun" w:hAnsi="SimSun"/>
                <w:sz w:val="19"/>
                <w:szCs w:val="19"/>
              </w:rPr>
              <w:t xml:space="preserve">控制变量</w:t>
            </w:r>
          </w:p>
        </w:tc>
        <w:tc>
          <w:tcPr>
            <w:vAlign w:val="center"/>
          </w:tcPr>
          <w:p>
            <w:pPr>
              <w:spacing w:after="0" w:line="280" w:lineRule="auto"/>
              <w:jc w:val="center"/>
            </w:pPr>
            <w:r>
              <w:rPr>
                <w:rFonts w:ascii="SimSun" w:eastAsia="SimSun" w:hAnsi="SimSun"/>
                <w:sz w:val="19"/>
                <w:szCs w:val="19"/>
              </w:rPr>
              <w:t xml:space="preserve">规模</w:t>
            </w:r>
          </w:p>
        </w:tc>
        <w:tc>
          <w:tcPr>
            <w:vAlign w:val="center"/>
          </w:tcPr>
          <w:p>
            <w:pPr>
              <w:spacing w:after="0" w:line="280" w:lineRule="auto"/>
              <w:jc w:val="center"/>
            </w:pPr>
            <w:r>
              <w:rPr>
                <w:rFonts w:ascii="SimSun" w:eastAsia="SimSun" w:hAnsi="SimSun"/>
                <w:sz w:val="19"/>
                <w:szCs w:val="19"/>
              </w:rPr>
              <w:t xml:space="preserve">Size</w:t>
            </w:r>
          </w:p>
        </w:tc>
        <w:tc>
          <w:tcPr>
            <w:vAlign w:val="center"/>
          </w:tcPr>
          <w:p>
            <w:pPr>
              <w:spacing w:after="0" w:line="280" w:lineRule="auto"/>
              <w:jc w:val="center"/>
            </w:pPr>
            <w:r>
              <w:rPr>
                <w:rFonts w:ascii="SimSun" w:eastAsia="SimSun" w:hAnsi="SimSun"/>
                <w:sz w:val="19"/>
                <w:szCs w:val="19"/>
              </w:rPr>
              <w:t xml:space="preserve">ln(总资产)</w:t>
            </w:r>
          </w:p>
        </w:tc>
      </w:tr>
      <w:tr>
        <w:tc>
          <w:tcPr>
            <w:vAlign w:val="center"/>
          </w:tcPr>
          <w:p>
            <w:pPr>
              <w:spacing w:after="0" w:line="280" w:lineRule="auto"/>
              <w:jc w:val="center"/>
            </w:pPr>
            <w:r>
              <w:rPr>
                <w:rFonts w:ascii="SimSun" w:eastAsia="SimSun" w:hAnsi="SimSun"/>
                <w:sz w:val="19"/>
                <w:szCs w:val="19"/>
              </w:rPr>
              <w:t xml:space="preserve">控制变量</w:t>
            </w:r>
          </w:p>
        </w:tc>
        <w:tc>
          <w:tcPr>
            <w:vAlign w:val="center"/>
          </w:tcPr>
          <w:p>
            <w:pPr>
              <w:spacing w:after="0" w:line="280" w:lineRule="auto"/>
              <w:jc w:val="center"/>
            </w:pPr>
            <w:r>
              <w:rPr>
                <w:rFonts w:ascii="SimSun" w:eastAsia="SimSun" w:hAnsi="SimSun"/>
                <w:sz w:val="19"/>
                <w:szCs w:val="19"/>
              </w:rPr>
              <w:t xml:space="preserve">杠杆</w:t>
            </w:r>
          </w:p>
        </w:tc>
        <w:tc>
          <w:tcPr>
            <w:vAlign w:val="center"/>
          </w:tcPr>
          <w:p>
            <w:pPr>
              <w:spacing w:after="0" w:line="280" w:lineRule="auto"/>
              <w:jc w:val="center"/>
            </w:pPr>
            <w:r>
              <w:rPr>
                <w:rFonts w:ascii="SimSun" w:eastAsia="SimSun" w:hAnsi="SimSun"/>
                <w:sz w:val="19"/>
                <w:szCs w:val="19"/>
              </w:rPr>
              <w:t xml:space="preserve">Lev</w:t>
            </w:r>
          </w:p>
        </w:tc>
        <w:tc>
          <w:tcPr>
            <w:vAlign w:val="center"/>
          </w:tcPr>
          <w:p>
            <w:pPr>
              <w:spacing w:after="0" w:line="280" w:lineRule="auto"/>
              <w:jc w:val="center"/>
            </w:pPr>
            <w:r>
              <w:rPr>
                <w:rFonts w:ascii="SimSun" w:eastAsia="SimSun" w:hAnsi="SimSun"/>
                <w:sz w:val="19"/>
                <w:szCs w:val="19"/>
              </w:rPr>
              <w:t xml:space="preserve">资产负债率</w:t>
            </w:r>
          </w:p>
        </w:tc>
      </w:tr>
      <w:tr>
        <w:tc>
          <w:tcPr>
            <w:vAlign w:val="center"/>
          </w:tcPr>
          <w:p>
            <w:pPr>
              <w:spacing w:after="0" w:line="280" w:lineRule="auto"/>
              <w:jc w:val="center"/>
            </w:pPr>
            <w:r>
              <w:rPr>
                <w:rFonts w:ascii="SimSun" w:eastAsia="SimSun" w:hAnsi="SimSun"/>
                <w:sz w:val="19"/>
                <w:szCs w:val="19"/>
              </w:rPr>
              <w:t xml:space="preserve">控制变量</w:t>
            </w:r>
          </w:p>
        </w:tc>
        <w:tc>
          <w:tcPr>
            <w:vAlign w:val="center"/>
          </w:tcPr>
          <w:p>
            <w:pPr>
              <w:spacing w:after="0" w:line="280" w:lineRule="auto"/>
              <w:jc w:val="center"/>
            </w:pPr>
            <w:r>
              <w:rPr>
                <w:rFonts w:ascii="SimSun" w:eastAsia="SimSun" w:hAnsi="SimSun"/>
                <w:sz w:val="19"/>
                <w:szCs w:val="19"/>
              </w:rPr>
              <w:t xml:space="preserve">盈利能力</w:t>
            </w:r>
          </w:p>
        </w:tc>
        <w:tc>
          <w:tcPr>
            <w:vAlign w:val="center"/>
          </w:tcPr>
          <w:p>
            <w:pPr>
              <w:spacing w:after="0" w:line="280" w:lineRule="auto"/>
              <w:jc w:val="center"/>
            </w:pPr>
            <w:r>
              <w:rPr>
                <w:rFonts w:ascii="SimSun" w:eastAsia="SimSun" w:hAnsi="SimSun"/>
                <w:sz w:val="19"/>
                <w:szCs w:val="19"/>
              </w:rPr>
              <w:t xml:space="preserve">Roa</w:t>
            </w:r>
          </w:p>
        </w:tc>
        <w:tc>
          <w:tcPr>
            <w:vAlign w:val="center"/>
          </w:tcPr>
          <w:p>
            <w:pPr>
              <w:spacing w:after="0" w:line="280" w:lineRule="auto"/>
              <w:jc w:val="center"/>
            </w:pPr>
            <w:r>
              <w:rPr>
                <w:rFonts w:ascii="SimSun" w:eastAsia="SimSun" w:hAnsi="SimSun"/>
                <w:sz w:val="19"/>
                <w:szCs w:val="19"/>
              </w:rPr>
              <w:t xml:space="preserve">净利润/总资产</w:t>
            </w:r>
          </w:p>
        </w:tc>
      </w:tr>
      <w:tr>
        <w:tc>
          <w:tcPr>
            <w:vAlign w:val="center"/>
          </w:tcPr>
          <w:p>
            <w:pPr>
              <w:spacing w:after="0" w:line="280" w:lineRule="auto"/>
              <w:jc w:val="center"/>
            </w:pPr>
            <w:r>
              <w:rPr>
                <w:rFonts w:ascii="SimSun" w:eastAsia="SimSun" w:hAnsi="SimSun"/>
                <w:sz w:val="19"/>
                <w:szCs w:val="19"/>
              </w:rPr>
              <w:t xml:space="preserve">控制变量</w:t>
            </w:r>
          </w:p>
        </w:tc>
        <w:tc>
          <w:tcPr>
            <w:vAlign w:val="center"/>
          </w:tcPr>
          <w:p>
            <w:pPr>
              <w:spacing w:after="0" w:line="280" w:lineRule="auto"/>
              <w:jc w:val="center"/>
            </w:pPr>
            <w:r>
              <w:rPr>
                <w:rFonts w:ascii="SimSun" w:eastAsia="SimSun" w:hAnsi="SimSun"/>
                <w:sz w:val="19"/>
                <w:szCs w:val="19"/>
              </w:rPr>
              <w:t xml:space="preserve">成长性</w:t>
            </w:r>
          </w:p>
        </w:tc>
        <w:tc>
          <w:tcPr>
            <w:vAlign w:val="center"/>
          </w:tcPr>
          <w:p>
            <w:pPr>
              <w:spacing w:after="0" w:line="280" w:lineRule="auto"/>
              <w:jc w:val="center"/>
            </w:pPr>
            <w:r>
              <w:rPr>
                <w:rFonts w:ascii="SimSun" w:eastAsia="SimSun" w:hAnsi="SimSun"/>
                <w:sz w:val="19"/>
                <w:szCs w:val="19"/>
              </w:rPr>
              <w:t xml:space="preserve">Growth</w:t>
            </w:r>
          </w:p>
        </w:tc>
        <w:tc>
          <w:tcPr>
            <w:vAlign w:val="center"/>
          </w:tcPr>
          <w:p>
            <w:pPr>
              <w:spacing w:after="0" w:line="280" w:lineRule="auto"/>
              <w:jc w:val="center"/>
            </w:pPr>
            <w:r>
              <w:rPr>
                <w:rFonts w:ascii="SimSun" w:eastAsia="SimSun" w:hAnsi="SimSun"/>
                <w:sz w:val="19"/>
                <w:szCs w:val="19"/>
              </w:rPr>
              <w:t xml:space="preserve">营业收入增长率</w:t>
            </w:r>
          </w:p>
        </w:tc>
      </w:tr>
      <w:tr>
        <w:tc>
          <w:tcPr>
            <w:vAlign w:val="center"/>
          </w:tcPr>
          <w:p>
            <w:pPr>
              <w:spacing w:after="0" w:line="280" w:lineRule="auto"/>
              <w:jc w:val="center"/>
            </w:pPr>
            <w:r>
              <w:rPr>
                <w:rFonts w:ascii="SimSun" w:eastAsia="SimSun" w:hAnsi="SimSun"/>
                <w:sz w:val="19"/>
                <w:szCs w:val="19"/>
              </w:rPr>
              <w:t xml:space="preserve">控制变量</w:t>
            </w:r>
          </w:p>
        </w:tc>
        <w:tc>
          <w:tcPr>
            <w:vAlign w:val="center"/>
          </w:tcPr>
          <w:p>
            <w:pPr>
              <w:spacing w:after="0" w:line="280" w:lineRule="auto"/>
              <w:jc w:val="center"/>
            </w:pPr>
            <w:r>
              <w:rPr>
                <w:rFonts w:ascii="SimSun" w:eastAsia="SimSun" w:hAnsi="SimSun"/>
                <w:sz w:val="19"/>
                <w:szCs w:val="19"/>
              </w:rPr>
              <w:t xml:space="preserve">换手率</w:t>
            </w:r>
          </w:p>
        </w:tc>
        <w:tc>
          <w:tcPr>
            <w:vAlign w:val="center"/>
          </w:tcPr>
          <w:p>
            <w:pPr>
              <w:spacing w:after="0" w:line="280" w:lineRule="auto"/>
              <w:jc w:val="center"/>
            </w:pPr>
            <w:r>
              <w:rPr>
                <w:rFonts w:ascii="SimSun" w:eastAsia="SimSun" w:hAnsi="SimSun"/>
                <w:sz w:val="19"/>
                <w:szCs w:val="19"/>
              </w:rPr>
              <w:t xml:space="preserve">Turn</w:t>
            </w:r>
          </w:p>
        </w:tc>
        <w:tc>
          <w:tcPr>
            <w:vAlign w:val="center"/>
          </w:tcPr>
          <w:p>
            <w:pPr>
              <w:spacing w:after="0" w:line="280" w:lineRule="auto"/>
              <w:jc w:val="center"/>
            </w:pPr>
            <w:r>
              <w:rPr>
                <w:rFonts w:ascii="SimSun" w:eastAsia="SimSun" w:hAnsi="SimSun"/>
                <w:sz w:val="19"/>
                <w:szCs w:val="19"/>
              </w:rPr>
              <w:t xml:space="preserve">年度日均换手率</w:t>
            </w:r>
          </w:p>
        </w:tc>
      </w:tr>
      <w:tr>
        <w:tc>
          <w:tcPr>
            <w:vAlign w:val="center"/>
          </w:tcPr>
          <w:p>
            <w:pPr>
              <w:spacing w:after="0" w:line="280" w:lineRule="auto"/>
              <w:jc w:val="center"/>
            </w:pPr>
            <w:r>
              <w:rPr>
                <w:rFonts w:ascii="SimSun" w:eastAsia="SimSun" w:hAnsi="SimSun"/>
                <w:sz w:val="19"/>
                <w:szCs w:val="19"/>
              </w:rPr>
              <w:t xml:space="preserve">固定效应</w:t>
            </w:r>
          </w:p>
        </w:tc>
        <w:tc>
          <w:tcPr>
            <w:vAlign w:val="center"/>
          </w:tcPr>
          <w:p>
            <w:pPr>
              <w:spacing w:after="0" w:line="280" w:lineRule="auto"/>
              <w:jc w:val="center"/>
            </w:pPr>
            <w:r>
              <w:rPr>
                <w:rFonts w:ascii="SimSun" w:eastAsia="SimSun" w:hAnsi="SimSun"/>
                <w:sz w:val="19"/>
                <w:szCs w:val="19"/>
              </w:rPr>
              <w:t xml:space="preserve">年份/行业</w:t>
            </w:r>
          </w:p>
        </w:tc>
        <w:tc>
          <w:tcPr>
            <w:vAlign w:val="center"/>
          </w:tcPr>
          <w:p>
            <w:pPr>
              <w:spacing w:after="0" w:line="280" w:lineRule="auto"/>
              <w:jc w:val="center"/>
            </w:pPr>
            <w:r>
              <w:rPr>
                <w:rFonts w:ascii="SimSun" w:eastAsia="SimSun" w:hAnsi="SimSun"/>
                <w:sz w:val="19"/>
                <w:szCs w:val="19"/>
              </w:rPr>
              <w:t xml:space="preserve">—</w:t>
            </w:r>
          </w:p>
        </w:tc>
        <w:tc>
          <w:tcPr>
            <w:vAlign w:val="center"/>
          </w:tcPr>
          <w:p>
            <w:pPr>
              <w:spacing w:after="0" w:line="280" w:lineRule="auto"/>
              <w:jc w:val="center"/>
            </w:pPr>
            <w:r>
              <w:rPr>
                <w:rFonts w:ascii="SimSun" w:eastAsia="SimSun" w:hAnsi="SimSun"/>
                <w:sz w:val="19"/>
                <w:szCs w:val="19"/>
              </w:rPr>
              <w:t xml:space="preserve">控制宏观冲击与行业特征</w:t>
            </w:r>
          </w:p>
        </w:tc>
      </w:tr>
    </w:tbl>
    <w:p>
      <w:pPr>
        <w:spacing w:after="60" w:line="360" w:lineRule="auto"/>
      </w:pPr>
      <w:r>
        <w:rPr>
          <w:rFonts w:ascii="SimSun" w:eastAsia="SimSun" w:hAnsi="SimSun"/>
          <w:sz w:val="12"/>
          <w:szCs w:val="12"/>
        </w:rPr>
        <w:t xml:space="preserve"/>
      </w:r>
    </w:p>
    <w:p>
      <w:pPr>
        <w:spacing w:after="140" w:line="360" w:lineRule="auto"/>
      </w:pPr>
      <w:r>
        <w:rPr>
          <w:rFonts w:ascii="SimHei" w:eastAsia="SimHei" w:hAnsi="SimHei"/>
          <w:b/>
          <w:bCs/>
          <w:sz w:val="24"/>
          <w:szCs w:val="24"/>
        </w:rPr>
        <w:t xml:space="preserve">2.5 模型设定</w:t>
      </w:r>
    </w:p>
    <w:p>
      <w:pPr>
        <w:spacing w:after="120" w:line="360" w:lineRule="auto"/>
        <w:ind w:firstLine="480"/>
      </w:pPr>
      <w:r>
        <w:rPr>
          <w:rFonts w:ascii="SimSun" w:eastAsia="SimSun" w:hAnsi="SimSun"/>
          <w:sz w:val="24"/>
          <w:szCs w:val="24"/>
        </w:rPr>
        <w:t xml:space="preserve">基准回归模型如下：</w:t>
      </w:r>
    </w:p>
    <w:p>
      <w:pPr>
        <w:spacing w:after="120" w:line="360" w:lineRule="auto"/>
        <w:jc w:val="center"/>
      </w:pPr>
      <w:r>
        <w:rPr>
          <w:rFonts w:ascii="Cambria Math" w:eastAsia="Cambria Math" w:hAnsi="Cambria Math"/>
          <w:sz w:val="24"/>
          <w:szCs w:val="24"/>
        </w:rPr>
        <w:t xml:space="preserve">Vol_{i,t+1} = \alpha_0 + \alpha_1 Sent_{i,t} + \sum \beta_j Controls_{i,t} + \mu_{ind} + \lambda_t + \varepsilon_{i,t}</w:t>
      </w:r>
    </w:p>
    <w:p>
      <w:pPr>
        <w:spacing w:after="120" w:line="360" w:lineRule="auto"/>
        <w:ind w:firstLine="480"/>
      </w:pPr>
      <w:r>
        <w:rPr>
          <w:rFonts w:ascii="SimSun" w:eastAsia="SimSun" w:hAnsi="SimSun"/>
          <w:sz w:val="24"/>
          <w:szCs w:val="24"/>
        </w:rPr>
        <w:t xml:space="preserve">其中被解释变量取t+1期以缓解反向因果；$\mu_{ind}$、$\lambda_t$ 分别为行业与年份固定效应，标准误在企业层面聚类。为检验调节效应，加入Sent×Trans交互项。</w:t>
      </w:r>
    </w:p>
    <w:p>
      <w:pPr>
        <w:spacing w:after="180" w:line="360" w:lineRule="auto"/>
      </w:pPr>
      <w:r>
        <w:rPr>
          <w:rFonts w:ascii="SimHei" w:eastAsia="SimHei" w:hAnsi="SimHei"/>
          <w:b/>
          <w:bCs/>
          <w:color w:val="1A3A5C"/>
          <w:sz w:val="28"/>
          <w:szCs w:val="28"/>
        </w:rPr>
        <w:t xml:space="preserve">第三章 分析</w:t>
      </w:r>
    </w:p>
    <w:p>
      <w:pPr>
        <w:spacing w:after="120" w:line="360" w:lineRule="auto"/>
        <w:ind w:firstLine="480"/>
      </w:pPr>
      <w:r>
        <w:rPr>
          <w:rFonts w:ascii="SimSun" w:eastAsia="SimSun" w:hAnsi="SimSun"/>
          <w:sz w:val="24"/>
          <w:szCs w:val="24"/>
        </w:rPr>
        <w:t xml:space="preserve">（本章约2300字）</w:t>
      </w:r>
    </w:p>
    <w:p>
      <w:pPr>
        <w:spacing w:after="140" w:line="360" w:lineRule="auto"/>
      </w:pPr>
      <w:r>
        <w:rPr>
          <w:rFonts w:ascii="SimHei" w:eastAsia="SimHei" w:hAnsi="SimHei"/>
          <w:b/>
          <w:bCs/>
          <w:sz w:val="24"/>
          <w:szCs w:val="24"/>
        </w:rPr>
        <w:t xml:space="preserve">3.1 描述性统计</w:t>
      </w:r>
    </w:p>
    <w:p>
      <w:pPr>
        <w:spacing w:after="120" w:line="360" w:lineRule="auto"/>
        <w:ind w:firstLine="480"/>
      </w:pPr>
      <w:r>
        <w:rPr>
          <w:rFonts w:ascii="SimSun" w:eastAsia="SimSun" w:hAnsi="SimSun"/>
          <w:sz w:val="24"/>
          <w:szCs w:val="24"/>
        </w:rPr>
        <w:t xml:space="preserve">表3-1报告了主要变量的描述性统计。文本情绪均值为0.118、标准差为0.084，最小值-0.412、最大值0.537，说明年报整体语调偏乐观但企业间差异明显；换手率均值为2.31%，波动率均值为0.427。偏度与峰度均在合理范围内，无需对连续变量做截尾之外的处理（所有连续变量已按1%和99%分位缩尾）。</w:t>
      </w:r>
    </w:p>
    <w:p>
      <w:pPr>
        <w:spacing w:after="120" w:line="360" w:lineRule="auto"/>
        <w:ind w:firstLine="480"/>
      </w:pPr>
      <w:r>
        <w:rPr>
          <w:rFonts w:ascii="SimSun" w:eastAsia="SimSun" w:hAnsi="SimSun"/>
          <w:sz w:val="24"/>
          <w:szCs w:val="24"/>
        </w:rPr>
        <w:t xml:space="preserve">*表3-1 描述性统计（N=19,673）*</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blGrid>
        <w:gridCol w:w="1500"/>
        <w:gridCol w:w="1500"/>
        <w:gridCol w:w="1500"/>
        <w:gridCol w:w="1500"/>
        <w:gridCol w:w="1500"/>
        <w:gridCol w:w="1500"/>
      </w:tblGrid>
      <w:tr>
        <w:tc>
          <w:tcPr>
            <w:shd w:val="clear" w:fill="DCE6F1"/>
            <w:vAlign w:val="center"/>
          </w:tcPr>
          <w:p>
            <w:pPr>
              <w:spacing w:after="0" w:line="280" w:lineRule="auto"/>
              <w:jc w:val="center"/>
            </w:pPr>
            <w:r>
              <w:rPr>
                <w:rFonts w:ascii="SimHei" w:eastAsia="SimHei" w:hAnsi="SimHei"/>
                <w:b/>
                <w:bCs/>
                <w:sz w:val="19"/>
                <w:szCs w:val="19"/>
              </w:rPr>
              <w:t xml:space="preserve">变量</w:t>
            </w:r>
          </w:p>
        </w:tc>
        <w:tc>
          <w:tcPr>
            <w:shd w:val="clear" w:fill="DCE6F1"/>
            <w:vAlign w:val="center"/>
          </w:tcPr>
          <w:p>
            <w:pPr>
              <w:spacing w:after="0" w:line="280" w:lineRule="auto"/>
              <w:jc w:val="center"/>
            </w:pPr>
            <w:r>
              <w:rPr>
                <w:rFonts w:ascii="SimHei" w:eastAsia="SimHei" w:hAnsi="SimHei"/>
                <w:b/>
                <w:bCs/>
                <w:sz w:val="19"/>
                <w:szCs w:val="19"/>
              </w:rPr>
              <w:t xml:space="preserve">均值</w:t>
            </w:r>
          </w:p>
        </w:tc>
        <w:tc>
          <w:tcPr>
            <w:shd w:val="clear" w:fill="DCE6F1"/>
            <w:vAlign w:val="center"/>
          </w:tcPr>
          <w:p>
            <w:pPr>
              <w:spacing w:after="0" w:line="280" w:lineRule="auto"/>
              <w:jc w:val="center"/>
            </w:pPr>
            <w:r>
              <w:rPr>
                <w:rFonts w:ascii="SimHei" w:eastAsia="SimHei" w:hAnsi="SimHei"/>
                <w:b/>
                <w:bCs/>
                <w:sz w:val="19"/>
                <w:szCs w:val="19"/>
              </w:rPr>
              <w:t xml:space="preserve">标准差</w:t>
            </w:r>
          </w:p>
        </w:tc>
        <w:tc>
          <w:tcPr>
            <w:shd w:val="clear" w:fill="DCE6F1"/>
            <w:vAlign w:val="center"/>
          </w:tcPr>
          <w:p>
            <w:pPr>
              <w:spacing w:after="0" w:line="280" w:lineRule="auto"/>
              <w:jc w:val="center"/>
            </w:pPr>
            <w:r>
              <w:rPr>
                <w:rFonts w:ascii="SimHei" w:eastAsia="SimHei" w:hAnsi="SimHei"/>
                <w:b/>
                <w:bCs/>
                <w:sz w:val="19"/>
                <w:szCs w:val="19"/>
              </w:rPr>
              <w:t xml:space="preserve">最小值</w:t>
            </w:r>
          </w:p>
        </w:tc>
        <w:tc>
          <w:tcPr>
            <w:shd w:val="clear" w:fill="DCE6F1"/>
            <w:vAlign w:val="center"/>
          </w:tcPr>
          <w:p>
            <w:pPr>
              <w:spacing w:after="0" w:line="280" w:lineRule="auto"/>
              <w:jc w:val="center"/>
            </w:pPr>
            <w:r>
              <w:rPr>
                <w:rFonts w:ascii="SimHei" w:eastAsia="SimHei" w:hAnsi="SimHei"/>
                <w:b/>
                <w:bCs/>
                <w:sz w:val="19"/>
                <w:szCs w:val="19"/>
              </w:rPr>
              <w:t xml:space="preserve">中位数</w:t>
            </w:r>
          </w:p>
        </w:tc>
        <w:tc>
          <w:tcPr>
            <w:shd w:val="clear" w:fill="DCE6F1"/>
            <w:vAlign w:val="center"/>
          </w:tcPr>
          <w:p>
            <w:pPr>
              <w:spacing w:after="0" w:line="280" w:lineRule="auto"/>
              <w:jc w:val="center"/>
            </w:pPr>
            <w:r>
              <w:rPr>
                <w:rFonts w:ascii="SimHei" w:eastAsia="SimHei" w:hAnsi="SimHei"/>
                <w:b/>
                <w:bCs/>
                <w:sz w:val="19"/>
                <w:szCs w:val="19"/>
              </w:rPr>
              <w:t xml:space="preserve">最大值</w:t>
            </w:r>
          </w:p>
        </w:tc>
      </w:tr>
      <w:tr>
        <w:tc>
          <w:tcPr>
            <w:vAlign w:val="center"/>
          </w:tcPr>
          <w:p>
            <w:pPr>
              <w:spacing w:after="0" w:line="280" w:lineRule="auto"/>
              <w:jc w:val="center"/>
            </w:pPr>
            <w:r>
              <w:rPr>
                <w:rFonts w:ascii="SimSun" w:eastAsia="SimSun" w:hAnsi="SimSun"/>
                <w:sz w:val="19"/>
                <w:szCs w:val="19"/>
              </w:rPr>
              <w:t xml:space="preserve">Sent</w:t>
            </w:r>
          </w:p>
        </w:tc>
        <w:tc>
          <w:tcPr>
            <w:vAlign w:val="center"/>
          </w:tcPr>
          <w:p>
            <w:pPr>
              <w:spacing w:after="0" w:line="280" w:lineRule="auto"/>
              <w:jc w:val="center"/>
            </w:pPr>
            <w:r>
              <w:rPr>
                <w:rFonts w:ascii="SimSun" w:eastAsia="SimSun" w:hAnsi="SimSun"/>
                <w:sz w:val="19"/>
                <w:szCs w:val="19"/>
              </w:rPr>
              <w:t xml:space="preserve">0.118</w:t>
            </w:r>
          </w:p>
        </w:tc>
        <w:tc>
          <w:tcPr>
            <w:vAlign w:val="center"/>
          </w:tcPr>
          <w:p>
            <w:pPr>
              <w:spacing w:after="0" w:line="280" w:lineRule="auto"/>
              <w:jc w:val="center"/>
            </w:pPr>
            <w:r>
              <w:rPr>
                <w:rFonts w:ascii="SimSun" w:eastAsia="SimSun" w:hAnsi="SimSun"/>
                <w:sz w:val="19"/>
                <w:szCs w:val="19"/>
              </w:rPr>
              <w:t xml:space="preserve">0.084</w:t>
            </w:r>
          </w:p>
        </w:tc>
        <w:tc>
          <w:tcPr>
            <w:vAlign w:val="center"/>
          </w:tcPr>
          <w:p>
            <w:pPr>
              <w:spacing w:after="0" w:line="280" w:lineRule="auto"/>
              <w:jc w:val="center"/>
            </w:pPr>
            <w:r>
              <w:rPr>
                <w:rFonts w:ascii="SimSun" w:eastAsia="SimSun" w:hAnsi="SimSun"/>
                <w:sz w:val="19"/>
                <w:szCs w:val="19"/>
              </w:rPr>
              <w:t xml:space="preserve">-0.412</w:t>
            </w:r>
          </w:p>
        </w:tc>
        <w:tc>
          <w:tcPr>
            <w:vAlign w:val="center"/>
          </w:tcPr>
          <w:p>
            <w:pPr>
              <w:spacing w:after="0" w:line="280" w:lineRule="auto"/>
              <w:jc w:val="center"/>
            </w:pPr>
            <w:r>
              <w:rPr>
                <w:rFonts w:ascii="SimSun" w:eastAsia="SimSun" w:hAnsi="SimSun"/>
                <w:sz w:val="19"/>
                <w:szCs w:val="19"/>
              </w:rPr>
              <w:t xml:space="preserve">0.121</w:t>
            </w:r>
          </w:p>
        </w:tc>
        <w:tc>
          <w:tcPr>
            <w:vAlign w:val="center"/>
          </w:tcPr>
          <w:p>
            <w:pPr>
              <w:spacing w:after="0" w:line="280" w:lineRule="auto"/>
              <w:jc w:val="center"/>
            </w:pPr>
            <w:r>
              <w:rPr>
                <w:rFonts w:ascii="SimSun" w:eastAsia="SimSun" w:hAnsi="SimSun"/>
                <w:sz w:val="19"/>
                <w:szCs w:val="19"/>
              </w:rPr>
              <w:t xml:space="preserve">0.537</w:t>
            </w:r>
          </w:p>
        </w:tc>
      </w:tr>
      <w:tr>
        <w:tc>
          <w:tcPr>
            <w:vAlign w:val="center"/>
          </w:tcPr>
          <w:p>
            <w:pPr>
              <w:spacing w:after="0" w:line="280" w:lineRule="auto"/>
              <w:jc w:val="center"/>
            </w:pPr>
            <w:r>
              <w:rPr>
                <w:rFonts w:ascii="SimSun" w:eastAsia="SimSun" w:hAnsi="SimSun"/>
                <w:sz w:val="19"/>
                <w:szCs w:val="19"/>
              </w:rPr>
              <w:t xml:space="preserve">Vol</w:t>
            </w:r>
          </w:p>
        </w:tc>
        <w:tc>
          <w:tcPr>
            <w:vAlign w:val="center"/>
          </w:tcPr>
          <w:p>
            <w:pPr>
              <w:spacing w:after="0" w:line="280" w:lineRule="auto"/>
              <w:jc w:val="center"/>
            </w:pPr>
            <w:r>
              <w:rPr>
                <w:rFonts w:ascii="SimSun" w:eastAsia="SimSun" w:hAnsi="SimSun"/>
                <w:sz w:val="19"/>
                <w:szCs w:val="19"/>
              </w:rPr>
              <w:t xml:space="preserve">0.427</w:t>
            </w:r>
          </w:p>
        </w:tc>
        <w:tc>
          <w:tcPr>
            <w:vAlign w:val="center"/>
          </w:tcPr>
          <w:p>
            <w:pPr>
              <w:spacing w:after="0" w:line="280" w:lineRule="auto"/>
              <w:jc w:val="center"/>
            </w:pPr>
            <w:r>
              <w:rPr>
                <w:rFonts w:ascii="SimSun" w:eastAsia="SimSun" w:hAnsi="SimSun"/>
                <w:sz w:val="19"/>
                <w:szCs w:val="19"/>
              </w:rPr>
              <w:t xml:space="preserve">0.198</w:t>
            </w:r>
          </w:p>
        </w:tc>
        <w:tc>
          <w:tcPr>
            <w:vAlign w:val="center"/>
          </w:tcPr>
          <w:p>
            <w:pPr>
              <w:spacing w:after="0" w:line="280" w:lineRule="auto"/>
              <w:jc w:val="center"/>
            </w:pPr>
            <w:r>
              <w:rPr>
                <w:rFonts w:ascii="SimSun" w:eastAsia="SimSun" w:hAnsi="SimSun"/>
                <w:sz w:val="19"/>
                <w:szCs w:val="19"/>
              </w:rPr>
              <w:t xml:space="preserve">0.096</w:t>
            </w:r>
          </w:p>
        </w:tc>
        <w:tc>
          <w:tcPr>
            <w:vAlign w:val="center"/>
          </w:tcPr>
          <w:p>
            <w:pPr>
              <w:spacing w:after="0" w:line="280" w:lineRule="auto"/>
              <w:jc w:val="center"/>
            </w:pPr>
            <w:r>
              <w:rPr>
                <w:rFonts w:ascii="SimSun" w:eastAsia="SimSun" w:hAnsi="SimSun"/>
                <w:sz w:val="19"/>
                <w:szCs w:val="19"/>
              </w:rPr>
              <w:t xml:space="preserve">0.386</w:t>
            </w:r>
          </w:p>
        </w:tc>
        <w:tc>
          <w:tcPr>
            <w:vAlign w:val="center"/>
          </w:tcPr>
          <w:p>
            <w:pPr>
              <w:spacing w:after="0" w:line="280" w:lineRule="auto"/>
              <w:jc w:val="center"/>
            </w:pPr>
            <w:r>
              <w:rPr>
                <w:rFonts w:ascii="SimSun" w:eastAsia="SimSun" w:hAnsi="SimSun"/>
                <w:sz w:val="19"/>
                <w:szCs w:val="19"/>
              </w:rPr>
              <w:t xml:space="preserve">1.302</w:t>
            </w:r>
          </w:p>
        </w:tc>
      </w:tr>
      <w:tr>
        <w:tc>
          <w:tcPr>
            <w:vAlign w:val="center"/>
          </w:tcPr>
          <w:p>
            <w:pPr>
              <w:spacing w:after="0" w:line="280" w:lineRule="auto"/>
              <w:jc w:val="center"/>
            </w:pPr>
            <w:r>
              <w:rPr>
                <w:rFonts w:ascii="SimSun" w:eastAsia="SimSun" w:hAnsi="SimSun"/>
                <w:sz w:val="19"/>
                <w:szCs w:val="19"/>
              </w:rPr>
              <w:t xml:space="preserve">Size</w:t>
            </w:r>
          </w:p>
        </w:tc>
        <w:tc>
          <w:tcPr>
            <w:vAlign w:val="center"/>
          </w:tcPr>
          <w:p>
            <w:pPr>
              <w:spacing w:after="0" w:line="280" w:lineRule="auto"/>
              <w:jc w:val="center"/>
            </w:pPr>
            <w:r>
              <w:rPr>
                <w:rFonts w:ascii="SimSun" w:eastAsia="SimSun" w:hAnsi="SimSun"/>
                <w:sz w:val="19"/>
                <w:szCs w:val="19"/>
              </w:rPr>
              <w:t xml:space="preserve">22.34</w:t>
            </w:r>
          </w:p>
        </w:tc>
        <w:tc>
          <w:tcPr>
            <w:vAlign w:val="center"/>
          </w:tcPr>
          <w:p>
            <w:pPr>
              <w:spacing w:after="0" w:line="280" w:lineRule="auto"/>
              <w:jc w:val="center"/>
            </w:pPr>
            <w:r>
              <w:rPr>
                <w:rFonts w:ascii="SimSun" w:eastAsia="SimSun" w:hAnsi="SimSun"/>
                <w:sz w:val="19"/>
                <w:szCs w:val="19"/>
              </w:rPr>
              <w:t xml:space="preserve">1.28</w:t>
            </w:r>
          </w:p>
        </w:tc>
        <w:tc>
          <w:tcPr>
            <w:vAlign w:val="center"/>
          </w:tcPr>
          <w:p>
            <w:pPr>
              <w:spacing w:after="0" w:line="280" w:lineRule="auto"/>
              <w:jc w:val="center"/>
            </w:pPr>
            <w:r>
              <w:rPr>
                <w:rFonts w:ascii="SimSun" w:eastAsia="SimSun" w:hAnsi="SimSun"/>
                <w:sz w:val="19"/>
                <w:szCs w:val="19"/>
              </w:rPr>
              <w:t xml:space="preserve">19.87</w:t>
            </w:r>
          </w:p>
        </w:tc>
        <w:tc>
          <w:tcPr>
            <w:vAlign w:val="center"/>
          </w:tcPr>
          <w:p>
            <w:pPr>
              <w:spacing w:after="0" w:line="280" w:lineRule="auto"/>
              <w:jc w:val="center"/>
            </w:pPr>
            <w:r>
              <w:rPr>
                <w:rFonts w:ascii="SimSun" w:eastAsia="SimSun" w:hAnsi="SimSun"/>
                <w:sz w:val="19"/>
                <w:szCs w:val="19"/>
              </w:rPr>
              <w:t xml:space="preserve">22.19</w:t>
            </w:r>
          </w:p>
        </w:tc>
        <w:tc>
          <w:tcPr>
            <w:vAlign w:val="center"/>
          </w:tcPr>
          <w:p>
            <w:pPr>
              <w:spacing w:after="0" w:line="280" w:lineRule="auto"/>
              <w:jc w:val="center"/>
            </w:pPr>
            <w:r>
              <w:rPr>
                <w:rFonts w:ascii="SimSun" w:eastAsia="SimSun" w:hAnsi="SimSun"/>
                <w:sz w:val="19"/>
                <w:szCs w:val="19"/>
              </w:rPr>
              <w:t xml:space="preserve">26.05</w:t>
            </w:r>
          </w:p>
        </w:tc>
      </w:tr>
      <w:tr>
        <w:tc>
          <w:tcPr>
            <w:vAlign w:val="center"/>
          </w:tcPr>
          <w:p>
            <w:pPr>
              <w:spacing w:after="0" w:line="280" w:lineRule="auto"/>
              <w:jc w:val="center"/>
            </w:pPr>
            <w:r>
              <w:rPr>
                <w:rFonts w:ascii="SimSun" w:eastAsia="SimSun" w:hAnsi="SimSun"/>
                <w:sz w:val="19"/>
                <w:szCs w:val="19"/>
              </w:rPr>
              <w:t xml:space="preserve">Lev</w:t>
            </w:r>
          </w:p>
        </w:tc>
        <w:tc>
          <w:tcPr>
            <w:vAlign w:val="center"/>
          </w:tcPr>
          <w:p>
            <w:pPr>
              <w:spacing w:after="0" w:line="280" w:lineRule="auto"/>
              <w:jc w:val="center"/>
            </w:pPr>
            <w:r>
              <w:rPr>
                <w:rFonts w:ascii="SimSun" w:eastAsia="SimSun" w:hAnsi="SimSun"/>
                <w:sz w:val="19"/>
                <w:szCs w:val="19"/>
              </w:rPr>
              <w:t xml:space="preserve">0.412</w:t>
            </w:r>
          </w:p>
        </w:tc>
        <w:tc>
          <w:tcPr>
            <w:vAlign w:val="center"/>
          </w:tcPr>
          <w:p>
            <w:pPr>
              <w:spacing w:after="0" w:line="280" w:lineRule="auto"/>
              <w:jc w:val="center"/>
            </w:pPr>
            <w:r>
              <w:rPr>
                <w:rFonts w:ascii="SimSun" w:eastAsia="SimSun" w:hAnsi="SimSun"/>
                <w:sz w:val="19"/>
                <w:szCs w:val="19"/>
              </w:rPr>
              <w:t xml:space="preserve">0.187</w:t>
            </w:r>
          </w:p>
        </w:tc>
        <w:tc>
          <w:tcPr>
            <w:vAlign w:val="center"/>
          </w:tcPr>
          <w:p>
            <w:pPr>
              <w:spacing w:after="0" w:line="280" w:lineRule="auto"/>
              <w:jc w:val="center"/>
            </w:pPr>
            <w:r>
              <w:rPr>
                <w:rFonts w:ascii="SimSun" w:eastAsia="SimSun" w:hAnsi="SimSun"/>
                <w:sz w:val="19"/>
                <w:szCs w:val="19"/>
              </w:rPr>
              <w:t xml:space="preserve">0.052</w:t>
            </w:r>
          </w:p>
        </w:tc>
        <w:tc>
          <w:tcPr>
            <w:vAlign w:val="center"/>
          </w:tcPr>
          <w:p>
            <w:pPr>
              <w:spacing w:after="0" w:line="280" w:lineRule="auto"/>
              <w:jc w:val="center"/>
            </w:pPr>
            <w:r>
              <w:rPr>
                <w:rFonts w:ascii="SimSun" w:eastAsia="SimSun" w:hAnsi="SimSun"/>
                <w:sz w:val="19"/>
                <w:szCs w:val="19"/>
              </w:rPr>
              <w:t xml:space="preserve">0.408</w:t>
            </w:r>
          </w:p>
        </w:tc>
        <w:tc>
          <w:tcPr>
            <w:vAlign w:val="center"/>
          </w:tcPr>
          <w:p>
            <w:pPr>
              <w:spacing w:after="0" w:line="280" w:lineRule="auto"/>
              <w:jc w:val="center"/>
            </w:pPr>
            <w:r>
              <w:rPr>
                <w:rFonts w:ascii="SimSun" w:eastAsia="SimSun" w:hAnsi="SimSun"/>
                <w:sz w:val="19"/>
                <w:szCs w:val="19"/>
              </w:rPr>
              <w:t xml:space="preserve">0.903</w:t>
            </w:r>
          </w:p>
        </w:tc>
      </w:tr>
      <w:tr>
        <w:tc>
          <w:tcPr>
            <w:vAlign w:val="center"/>
          </w:tcPr>
          <w:p>
            <w:pPr>
              <w:spacing w:after="0" w:line="280" w:lineRule="auto"/>
              <w:jc w:val="center"/>
            </w:pPr>
            <w:r>
              <w:rPr>
                <w:rFonts w:ascii="SimSun" w:eastAsia="SimSun" w:hAnsi="SimSun"/>
                <w:sz w:val="19"/>
                <w:szCs w:val="19"/>
              </w:rPr>
              <w:t xml:space="preserve">Roa</w:t>
            </w:r>
          </w:p>
        </w:tc>
        <w:tc>
          <w:tcPr>
            <w:vAlign w:val="center"/>
          </w:tcPr>
          <w:p>
            <w:pPr>
              <w:spacing w:after="0" w:line="280" w:lineRule="auto"/>
              <w:jc w:val="center"/>
            </w:pPr>
            <w:r>
              <w:rPr>
                <w:rFonts w:ascii="SimSun" w:eastAsia="SimSun" w:hAnsi="SimSun"/>
                <w:sz w:val="19"/>
                <w:szCs w:val="19"/>
              </w:rPr>
              <w:t xml:space="preserve">0.036</w:t>
            </w:r>
          </w:p>
        </w:tc>
        <w:tc>
          <w:tcPr>
            <w:vAlign w:val="center"/>
          </w:tcPr>
          <w:p>
            <w:pPr>
              <w:spacing w:after="0" w:line="280" w:lineRule="auto"/>
              <w:jc w:val="center"/>
            </w:pPr>
            <w:r>
              <w:rPr>
                <w:rFonts w:ascii="SimSun" w:eastAsia="SimSun" w:hAnsi="SimSun"/>
                <w:sz w:val="19"/>
                <w:szCs w:val="19"/>
              </w:rPr>
              <w:t xml:space="preserve">0.058</w:t>
            </w:r>
          </w:p>
        </w:tc>
        <w:tc>
          <w:tcPr>
            <w:vAlign w:val="center"/>
          </w:tcPr>
          <w:p>
            <w:pPr>
              <w:spacing w:after="0" w:line="280" w:lineRule="auto"/>
              <w:jc w:val="center"/>
            </w:pPr>
            <w:r>
              <w:rPr>
                <w:rFonts w:ascii="SimSun" w:eastAsia="SimSun" w:hAnsi="SimSun"/>
                <w:sz w:val="19"/>
                <w:szCs w:val="19"/>
              </w:rPr>
              <w:t xml:space="preserve">-0.224</w:t>
            </w:r>
          </w:p>
        </w:tc>
        <w:tc>
          <w:tcPr>
            <w:vAlign w:val="center"/>
          </w:tcPr>
          <w:p>
            <w:pPr>
              <w:spacing w:after="0" w:line="280" w:lineRule="auto"/>
              <w:jc w:val="center"/>
            </w:pPr>
            <w:r>
              <w:rPr>
                <w:rFonts w:ascii="SimSun" w:eastAsia="SimSun" w:hAnsi="SimSun"/>
                <w:sz w:val="19"/>
                <w:szCs w:val="19"/>
              </w:rPr>
              <w:t xml:space="preserve">0.034</w:t>
            </w:r>
          </w:p>
        </w:tc>
        <w:tc>
          <w:tcPr>
            <w:vAlign w:val="center"/>
          </w:tcPr>
          <w:p>
            <w:pPr>
              <w:spacing w:after="0" w:line="280" w:lineRule="auto"/>
              <w:jc w:val="center"/>
            </w:pPr>
            <w:r>
              <w:rPr>
                <w:rFonts w:ascii="SimSun" w:eastAsia="SimSun" w:hAnsi="SimSun"/>
                <w:sz w:val="19"/>
                <w:szCs w:val="19"/>
              </w:rPr>
              <w:t xml:space="preserve">0.212</w:t>
            </w:r>
          </w:p>
        </w:tc>
      </w:tr>
      <w:tr>
        <w:tc>
          <w:tcPr>
            <w:vAlign w:val="center"/>
          </w:tcPr>
          <w:p>
            <w:pPr>
              <w:spacing w:after="0" w:line="280" w:lineRule="auto"/>
              <w:jc w:val="center"/>
            </w:pPr>
            <w:r>
              <w:rPr>
                <w:rFonts w:ascii="SimSun" w:eastAsia="SimSun" w:hAnsi="SimSun"/>
                <w:sz w:val="19"/>
                <w:szCs w:val="19"/>
              </w:rPr>
              <w:t xml:space="preserve">Growth</w:t>
            </w:r>
          </w:p>
        </w:tc>
        <w:tc>
          <w:tcPr>
            <w:vAlign w:val="center"/>
          </w:tcPr>
          <w:p>
            <w:pPr>
              <w:spacing w:after="0" w:line="280" w:lineRule="auto"/>
              <w:jc w:val="center"/>
            </w:pPr>
            <w:r>
              <w:rPr>
                <w:rFonts w:ascii="SimSun" w:eastAsia="SimSun" w:hAnsi="SimSun"/>
                <w:sz w:val="19"/>
                <w:szCs w:val="19"/>
              </w:rPr>
              <w:t xml:space="preserve">0.147</w:t>
            </w:r>
          </w:p>
        </w:tc>
        <w:tc>
          <w:tcPr>
            <w:vAlign w:val="center"/>
          </w:tcPr>
          <w:p>
            <w:pPr>
              <w:spacing w:after="0" w:line="280" w:lineRule="auto"/>
              <w:jc w:val="center"/>
            </w:pPr>
            <w:r>
              <w:rPr>
                <w:rFonts w:ascii="SimSun" w:eastAsia="SimSun" w:hAnsi="SimSun"/>
                <w:sz w:val="19"/>
                <w:szCs w:val="19"/>
              </w:rPr>
              <w:t xml:space="preserve">0.356</w:t>
            </w:r>
          </w:p>
        </w:tc>
        <w:tc>
          <w:tcPr>
            <w:vAlign w:val="center"/>
          </w:tcPr>
          <w:p>
            <w:pPr>
              <w:spacing w:after="0" w:line="280" w:lineRule="auto"/>
              <w:jc w:val="center"/>
            </w:pPr>
            <w:r>
              <w:rPr>
                <w:rFonts w:ascii="SimSun" w:eastAsia="SimSun" w:hAnsi="SimSun"/>
                <w:sz w:val="19"/>
                <w:szCs w:val="19"/>
              </w:rPr>
              <w:t xml:space="preserve">-0.618</w:t>
            </w:r>
          </w:p>
        </w:tc>
        <w:tc>
          <w:tcPr>
            <w:vAlign w:val="center"/>
          </w:tcPr>
          <w:p>
            <w:pPr>
              <w:spacing w:after="0" w:line="280" w:lineRule="auto"/>
              <w:jc w:val="center"/>
            </w:pPr>
            <w:r>
              <w:rPr>
                <w:rFonts w:ascii="SimSun" w:eastAsia="SimSun" w:hAnsi="SimSun"/>
                <w:sz w:val="19"/>
                <w:szCs w:val="19"/>
              </w:rPr>
              <w:t xml:space="preserve">0.098</w:t>
            </w:r>
          </w:p>
        </w:tc>
        <w:tc>
          <w:tcPr>
            <w:vAlign w:val="center"/>
          </w:tcPr>
          <w:p>
            <w:pPr>
              <w:spacing w:after="0" w:line="280" w:lineRule="auto"/>
              <w:jc w:val="center"/>
            </w:pPr>
            <w:r>
              <w:rPr>
                <w:rFonts w:ascii="SimSun" w:eastAsia="SimSun" w:hAnsi="SimSun"/>
                <w:sz w:val="19"/>
                <w:szCs w:val="19"/>
              </w:rPr>
              <w:t xml:space="preserve">2.415</w:t>
            </w:r>
          </w:p>
        </w:tc>
      </w:tr>
      <w:tr>
        <w:tc>
          <w:tcPr>
            <w:vAlign w:val="center"/>
          </w:tcPr>
          <w:p>
            <w:pPr>
              <w:spacing w:after="0" w:line="280" w:lineRule="auto"/>
              <w:jc w:val="center"/>
            </w:pPr>
            <w:r>
              <w:rPr>
                <w:rFonts w:ascii="SimSun" w:eastAsia="SimSun" w:hAnsi="SimSun"/>
                <w:sz w:val="19"/>
                <w:szCs w:val="19"/>
              </w:rPr>
              <w:t xml:space="preserve">Turn</w:t>
            </w:r>
          </w:p>
        </w:tc>
        <w:tc>
          <w:tcPr>
            <w:vAlign w:val="center"/>
          </w:tcPr>
          <w:p>
            <w:pPr>
              <w:spacing w:after="0" w:line="280" w:lineRule="auto"/>
              <w:jc w:val="center"/>
            </w:pPr>
            <w:r>
              <w:rPr>
                <w:rFonts w:ascii="SimSun" w:eastAsia="SimSun" w:hAnsi="SimSun"/>
                <w:sz w:val="19"/>
                <w:szCs w:val="19"/>
              </w:rPr>
              <w:t xml:space="preserve">2.31</w:t>
            </w:r>
          </w:p>
        </w:tc>
        <w:tc>
          <w:tcPr>
            <w:vAlign w:val="center"/>
          </w:tcPr>
          <w:p>
            <w:pPr>
              <w:spacing w:after="0" w:line="280" w:lineRule="auto"/>
              <w:jc w:val="center"/>
            </w:pPr>
            <w:r>
              <w:rPr>
                <w:rFonts w:ascii="SimSun" w:eastAsia="SimSun" w:hAnsi="SimSun"/>
                <w:sz w:val="19"/>
                <w:szCs w:val="19"/>
              </w:rPr>
              <w:t xml:space="preserve">1.92</w:t>
            </w:r>
          </w:p>
        </w:tc>
        <w:tc>
          <w:tcPr>
            <w:vAlign w:val="center"/>
          </w:tcPr>
          <w:p>
            <w:pPr>
              <w:spacing w:after="0" w:line="280" w:lineRule="auto"/>
              <w:jc w:val="center"/>
            </w:pPr>
            <w:r>
              <w:rPr>
                <w:rFonts w:ascii="SimSun" w:eastAsia="SimSun" w:hAnsi="SimSun"/>
                <w:sz w:val="19"/>
                <w:szCs w:val="19"/>
              </w:rPr>
              <w:t xml:space="preserve">0.18</w:t>
            </w:r>
          </w:p>
        </w:tc>
        <w:tc>
          <w:tcPr>
            <w:vAlign w:val="center"/>
          </w:tcPr>
          <w:p>
            <w:pPr>
              <w:spacing w:after="0" w:line="280" w:lineRule="auto"/>
              <w:jc w:val="center"/>
            </w:pPr>
            <w:r>
              <w:rPr>
                <w:rFonts w:ascii="SimSun" w:eastAsia="SimSun" w:hAnsi="SimSun"/>
                <w:sz w:val="19"/>
                <w:szCs w:val="19"/>
              </w:rPr>
              <w:t xml:space="preserve">1.79</w:t>
            </w:r>
          </w:p>
        </w:tc>
        <w:tc>
          <w:tcPr>
            <w:vAlign w:val="center"/>
          </w:tcPr>
          <w:p>
            <w:pPr>
              <w:spacing w:after="0" w:line="280" w:lineRule="auto"/>
              <w:jc w:val="center"/>
            </w:pPr>
            <w:r>
              <w:rPr>
                <w:rFonts w:ascii="SimSun" w:eastAsia="SimSun" w:hAnsi="SimSun"/>
                <w:sz w:val="19"/>
                <w:szCs w:val="19"/>
              </w:rPr>
              <w:t xml:space="preserve">12.44</w:t>
            </w:r>
          </w:p>
        </w:tc>
      </w:tr>
    </w:tbl>
    <w:p>
      <w:pPr>
        <w:spacing w:after="60" w:line="360" w:lineRule="auto"/>
      </w:pPr>
      <w:r>
        <w:rPr>
          <w:rFonts w:ascii="SimSun" w:eastAsia="SimSun" w:hAnsi="SimSun"/>
          <w:sz w:val="12"/>
          <w:szCs w:val="12"/>
        </w:rPr>
        <w:t xml:space="preserve"/>
      </w:r>
    </w:p>
    <w:p>
      <w:pPr>
        <w:spacing w:after="120" w:line="360" w:lineRule="auto"/>
        <w:ind w:firstLine="480"/>
      </w:pPr>
      <w:r>
        <w:rPr>
          <w:rFonts w:ascii="SimSun" w:eastAsia="SimSun" w:hAnsi="SimSun"/>
          <w:sz w:val="24"/>
          <w:szCs w:val="24"/>
        </w:rPr>
        <w:t xml:space="preserve">相关系数矩阵显示Sent与Vol的一阶相关为0.061（p&lt;0.01），与Turn的为0.103（p&lt;0.01），初步方向符合预期。</w:t>
      </w:r>
    </w:p>
    <w:p>
      <w:pPr>
        <w:spacing w:after="140" w:line="360" w:lineRule="auto"/>
      </w:pPr>
      <w:r>
        <w:rPr>
          <w:rFonts w:ascii="SimHei" w:eastAsia="SimHei" w:hAnsi="SimHei"/>
          <w:b/>
          <w:bCs/>
          <w:sz w:val="24"/>
          <w:szCs w:val="24"/>
        </w:rPr>
        <w:t xml:space="preserve">3.2 信度与效度检验</w:t>
      </w:r>
    </w:p>
    <w:p>
      <w:pPr>
        <w:spacing w:after="120" w:line="360" w:lineRule="auto"/>
        <w:ind w:firstLine="480"/>
      </w:pPr>
      <w:r>
        <w:rPr>
          <w:rFonts w:ascii="SimSun" w:eastAsia="SimSun" w:hAnsi="SimSun"/>
          <w:sz w:val="24"/>
          <w:szCs w:val="24"/>
        </w:rPr>
        <w:t xml:space="preserve">**收敛效度**：将本文文本情绪Sent与三个传统市场情绪指标（换手率、上证综指年度收益率、新增开户数增长率）做标准化合成，计算内部一致性信度，Cronbach's α = 0.87（&gt;0.7），主成分分析第一主成分方差解释率为61.4%，表明文本情绪与传统情绪指标收敛于同一潜在因子。</w:t>
      </w:r>
    </w:p>
    <w:p>
      <w:pPr>
        <w:spacing w:after="120" w:line="360" w:lineRule="auto"/>
        <w:ind w:firstLine="480"/>
      </w:pPr>
      <w:r>
        <w:rPr>
          <w:rFonts w:ascii="SimSun" w:eastAsia="SimSun" w:hAnsi="SimSun"/>
          <w:sz w:val="24"/>
          <w:szCs w:val="24"/>
        </w:rPr>
        <w:t xml:space="preserve">**区分效度**：Sent与同期财务业绩指标Roa的相关仅为0.04，说明文本情绪捕捉的是心理倾向而非单纯业绩映射。</w:t>
      </w:r>
    </w:p>
    <w:p>
      <w:pPr>
        <w:spacing w:after="120" w:line="360" w:lineRule="auto"/>
        <w:ind w:firstLine="480"/>
      </w:pPr>
      <w:r>
        <w:rPr>
          <w:rFonts w:ascii="SimSun" w:eastAsia="SimSun" w:hAnsi="SimSun"/>
          <w:sz w:val="24"/>
          <w:szCs w:val="24"/>
        </w:rPr>
        <w:t xml:space="preserve">**内容效度**：人工抽取2019年得分最高与最低各50份年报段落进行标注比对，人工判断与词典打分的一致率为82.6%，Kappa系数0.71，处于较高水平。误判案例多来自否定结构（如"不存在重大风险"），本文通过前置否定词窗口（3字）处理予以缓解。</w:t>
      </w:r>
    </w:p>
    <w:p>
      <w:pPr>
        <w:spacing w:after="140" w:line="360" w:lineRule="auto"/>
      </w:pPr>
      <w:r>
        <w:rPr>
          <w:rFonts w:ascii="SimHei" w:eastAsia="SimHei" w:hAnsi="SimHei"/>
          <w:b/>
          <w:bCs/>
          <w:sz w:val="24"/>
          <w:szCs w:val="24"/>
        </w:rPr>
        <w:t xml:space="preserve">3.3 基准回归结果</w:t>
      </w:r>
    </w:p>
    <w:p>
      <w:pPr>
        <w:spacing w:after="120" w:line="360" w:lineRule="auto"/>
        <w:ind w:firstLine="480"/>
      </w:pPr>
      <w:r>
        <w:rPr>
          <w:rFonts w:ascii="SimSun" w:eastAsia="SimSun" w:hAnsi="SimSun"/>
          <w:sz w:val="24"/>
          <w:szCs w:val="24"/>
        </w:rPr>
        <w:t xml:space="preserve">*表3-2 基准回归（被解释变量：Vol_{t+1}）*</w:t>
      </w:r>
    </w:p>
    <w:tbl>
      <w:tblPr>
        <w:tblW w:w="5000" w:type="pct"/>
        <w:tblBorders>
          <w:top w:val="single" w:sz="4" w:color="666666"/>
          <w:left w:val="single" w:sz="4" w:color="666666"/>
          <w:bottom w:val="single" w:sz="4" w:color="666666"/>
          <w:right w:val="single" w:sz="4" w:color="666666"/>
          <w:insideH w:val="single" w:sz="4" w:color="666666"/>
          <w:insideV w:val="single" w:sz="4" w:color="666666"/>
        </w:tblBorders>
      </w:tblPr>
      <w:tblGrid>
        <w:gridCol w:w="2250"/>
        <w:gridCol w:w="2250"/>
        <w:gridCol w:w="2250"/>
        <w:gridCol w:w="2250"/>
      </w:tblGrid>
      <w:tr>
        <w:tc>
          <w:tcPr>
            <w:shd w:val="clear" w:fill="DCE6F1"/>
            <w:vAlign w:val="center"/>
          </w:tcPr>
          <w:p>
            <w:pPr>
              <w:spacing w:after="0" w:line="280" w:lineRule="auto"/>
              <w:jc w:val="center"/>
            </w:pPr>
            <w:r>
              <w:rPr>
                <w:rFonts w:ascii="SimHei" w:eastAsia="SimHei" w:hAnsi="SimHei"/>
                <w:b/>
                <w:bCs/>
                <w:sz w:val="19"/>
                <w:szCs w:val="19"/>
              </w:rPr>
              <w:t xml:space="preserve"/>
            </w:r>
          </w:p>
        </w:tc>
        <w:tc>
          <w:tcPr>
            <w:shd w:val="clear" w:fill="DCE6F1"/>
            <w:vAlign w:val="center"/>
          </w:tcPr>
          <w:p>
            <w:pPr>
              <w:spacing w:after="0" w:line="280" w:lineRule="auto"/>
              <w:jc w:val="center"/>
            </w:pPr>
            <w:r>
              <w:rPr>
                <w:rFonts w:ascii="SimHei" w:eastAsia="SimHei" w:hAnsi="SimHei"/>
                <w:b/>
                <w:bCs/>
                <w:sz w:val="19"/>
                <w:szCs w:val="19"/>
              </w:rPr>
              <w:t xml:space="preserve">(1)</w:t>
            </w:r>
          </w:p>
        </w:tc>
        <w:tc>
          <w:tcPr>
            <w:shd w:val="clear" w:fill="DCE6F1"/>
            <w:vAlign w:val="center"/>
          </w:tcPr>
          <w:p>
            <w:pPr>
              <w:spacing w:after="0" w:line="280" w:lineRule="auto"/>
              <w:jc w:val="center"/>
            </w:pPr>
            <w:r>
              <w:rPr>
                <w:rFonts w:ascii="SimHei" w:eastAsia="SimHei" w:hAnsi="SimHei"/>
                <w:b/>
                <w:bCs/>
                <w:sz w:val="19"/>
                <w:szCs w:val="19"/>
              </w:rPr>
              <w:t xml:space="preserve">(2)</w:t>
            </w:r>
          </w:p>
        </w:tc>
        <w:tc>
          <w:tcPr>
            <w:shd w:val="clear" w:fill="DCE6F1"/>
            <w:vAlign w:val="center"/>
          </w:tcPr>
          <w:p>
            <w:pPr>
              <w:spacing w:after="0" w:line="280" w:lineRule="auto"/>
              <w:jc w:val="center"/>
            </w:pPr>
            <w:r>
              <w:rPr>
                <w:rFonts w:ascii="SimHei" w:eastAsia="SimHei" w:hAnsi="SimHei"/>
                <w:b/>
                <w:bCs/>
                <w:sz w:val="19"/>
                <w:szCs w:val="19"/>
              </w:rPr>
              <w:t xml:space="preserve">(3)</w:t>
            </w:r>
          </w:p>
        </w:tc>
      </w:tr>
      <w:tr>
        <w:tc>
          <w:tcPr>
            <w:vAlign w:val="center"/>
          </w:tcPr>
          <w:p>
            <w:pPr>
              <w:spacing w:after="0" w:line="280" w:lineRule="auto"/>
              <w:jc w:val="center"/>
            </w:pPr>
            <w:r>
              <w:rPr>
                <w:rFonts w:ascii="SimSun" w:eastAsia="SimSun" w:hAnsi="SimSun"/>
                <w:sz w:val="19"/>
                <w:szCs w:val="19"/>
              </w:rPr>
              <w:t xml:space="preserve">Sent</w:t>
            </w:r>
          </w:p>
        </w:tc>
        <w:tc>
          <w:tcPr>
            <w:vAlign w:val="center"/>
          </w:tcPr>
          <w:p>
            <w:pPr>
              <w:spacing w:after="0" w:line="280" w:lineRule="auto"/>
              <w:jc w:val="center"/>
            </w:pPr>
            <w:r>
              <w:rPr>
                <w:rFonts w:ascii="SimSun" w:eastAsia="SimSun" w:hAnsi="SimSun"/>
                <w:sz w:val="19"/>
                <w:szCs w:val="19"/>
              </w:rPr>
              <w:t xml:space="preserve">0.062**</w:t>
            </w:r>
          </w:p>
        </w:tc>
        <w:tc>
          <w:tcPr>
            <w:vAlign w:val="center"/>
          </w:tcPr>
          <w:p>
            <w:pPr>
              <w:spacing w:after="0" w:line="280" w:lineRule="auto"/>
              <w:jc w:val="center"/>
            </w:pPr>
            <w:r>
              <w:rPr>
                <w:rFonts w:ascii="SimSun" w:eastAsia="SimSun" w:hAnsi="SimSun"/>
                <w:sz w:val="19"/>
                <w:szCs w:val="19"/>
              </w:rPr>
              <w:t xml:space="preserve">0.048**</w:t>
            </w:r>
          </w:p>
        </w:tc>
        <w:tc>
          <w:tcPr>
            <w:vAlign w:val="center"/>
          </w:tcPr>
          <w:p>
            <w:pPr>
              <w:spacing w:after="0" w:line="280" w:lineRule="auto"/>
              <w:jc w:val="center"/>
            </w:pPr>
            <w:r>
              <w:rPr>
                <w:rFonts w:ascii="SimSun" w:eastAsia="SimSun" w:hAnsi="SimSun"/>
                <w:sz w:val="19"/>
                <w:szCs w:val="19"/>
              </w:rPr>
              <w:t xml:space="preserve">0.051***</w:t>
            </w:r>
          </w:p>
        </w:tc>
      </w:tr>
      <w:tr>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(0.026)</w:t>
            </w:r>
          </w:p>
        </w:tc>
        <w:tc>
          <w:tcPr>
            <w:vAlign w:val="center"/>
          </w:tcPr>
          <w:p>
            <w:pPr>
              <w:spacing w:after="0" w:line="280" w:lineRule="auto"/>
              <w:jc w:val="center"/>
            </w:pPr>
            <w:r>
              <w:rPr>
                <w:rFonts w:ascii="SimSun" w:eastAsia="SimSun" w:hAnsi="SimSun"/>
                <w:sz w:val="19"/>
                <w:szCs w:val="19"/>
              </w:rPr>
              <w:t xml:space="preserve">(0.021)</w:t>
            </w:r>
          </w:p>
        </w:tc>
        <w:tc>
          <w:tcPr>
            <w:vAlign w:val="center"/>
          </w:tcPr>
          <w:p>
            <w:pPr>
              <w:spacing w:after="0" w:line="280" w:lineRule="auto"/>
              <w:jc w:val="center"/>
            </w:pPr>
            <w:r>
              <w:rPr>
                <w:rFonts w:ascii="SimSun" w:eastAsia="SimSun" w:hAnsi="SimSun"/>
                <w:sz w:val="19"/>
                <w:szCs w:val="19"/>
              </w:rPr>
              <w:t xml:space="preserve">(0.019)</w:t>
            </w:r>
          </w:p>
        </w:tc>
      </w:tr>
      <w:tr>
        <w:tc>
          <w:tcPr>
            <w:vAlign w:val="center"/>
          </w:tcPr>
          <w:p>
            <w:pPr>
              <w:spacing w:after="0" w:line="280" w:lineRule="auto"/>
              <w:jc w:val="center"/>
            </w:pPr>
            <w:r>
              <w:rPr>
                <w:rFonts w:ascii="SimSun" w:eastAsia="SimSun" w:hAnsi="SimSun"/>
                <w:sz w:val="19"/>
                <w:szCs w:val="19"/>
              </w:rPr>
              <w:t xml:space="preserve">Size</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-0.043***</w:t>
            </w:r>
          </w:p>
        </w:tc>
        <w:tc>
          <w:tcPr>
            <w:vAlign w:val="center"/>
          </w:tcPr>
          <w:p>
            <w:pPr>
              <w:spacing w:after="0" w:line="280" w:lineRule="auto"/>
              <w:jc w:val="center"/>
            </w:pPr>
            <w:r>
              <w:rPr>
                <w:rFonts w:ascii="SimSun" w:eastAsia="SimSun" w:hAnsi="SimSun"/>
                <w:sz w:val="19"/>
                <w:szCs w:val="19"/>
              </w:rPr>
              <w:t xml:space="preserve">-0.041***</w:t>
            </w:r>
          </w:p>
        </w:tc>
      </w:tr>
      <w:tr>
        <w:tc>
          <w:tcPr>
            <w:vAlign w:val="center"/>
          </w:tcPr>
          <w:p>
            <w:pPr>
              <w:spacing w:after="0" w:line="280" w:lineRule="auto"/>
              <w:jc w:val="center"/>
            </w:pPr>
            <w:r>
              <w:rPr>
                <w:rFonts w:ascii="SimSun" w:eastAsia="SimSun" w:hAnsi="SimSun"/>
                <w:sz w:val="19"/>
                <w:szCs w:val="19"/>
              </w:rPr>
              <w:t xml:space="preserve">Lev</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0.142***</w:t>
            </w:r>
          </w:p>
        </w:tc>
        <w:tc>
          <w:tcPr>
            <w:vAlign w:val="center"/>
          </w:tcPr>
          <w:p>
            <w:pPr>
              <w:spacing w:after="0" w:line="280" w:lineRule="auto"/>
              <w:jc w:val="center"/>
            </w:pPr>
            <w:r>
              <w:rPr>
                <w:rFonts w:ascii="SimSun" w:eastAsia="SimSun" w:hAnsi="SimSun"/>
                <w:sz w:val="19"/>
                <w:szCs w:val="19"/>
              </w:rPr>
              <w:t xml:space="preserve">0.138***</w:t>
            </w:r>
          </w:p>
        </w:tc>
      </w:tr>
      <w:tr>
        <w:tc>
          <w:tcPr>
            <w:vAlign w:val="center"/>
          </w:tcPr>
          <w:p>
            <w:pPr>
              <w:spacing w:after="0" w:line="280" w:lineRule="auto"/>
              <w:jc w:val="center"/>
            </w:pPr>
            <w:r>
              <w:rPr>
                <w:rFonts w:ascii="SimSun" w:eastAsia="SimSun" w:hAnsi="SimSun"/>
                <w:sz w:val="19"/>
                <w:szCs w:val="19"/>
              </w:rPr>
              <w:t xml:space="preserve">Roa</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-0.301***</w:t>
            </w:r>
          </w:p>
        </w:tc>
        <w:tc>
          <w:tcPr>
            <w:vAlign w:val="center"/>
          </w:tcPr>
          <w:p>
            <w:pPr>
              <w:spacing w:after="0" w:line="280" w:lineRule="auto"/>
              <w:jc w:val="center"/>
            </w:pPr>
            <w:r>
              <w:rPr>
                <w:rFonts w:ascii="SimSun" w:eastAsia="SimSun" w:hAnsi="SimSun"/>
                <w:sz w:val="19"/>
                <w:szCs w:val="19"/>
              </w:rPr>
              <w:t xml:space="preserve">-0.296***</w:t>
            </w:r>
          </w:p>
        </w:tc>
      </w:tr>
      <w:tr>
        <w:tc>
          <w:tcPr>
            <w:vAlign w:val="center"/>
          </w:tcPr>
          <w:p>
            <w:pPr>
              <w:spacing w:after="0" w:line="280" w:lineRule="auto"/>
              <w:jc w:val="center"/>
            </w:pPr>
            <w:r>
              <w:rPr>
                <w:rFonts w:ascii="SimSun" w:eastAsia="SimSun" w:hAnsi="SimSun"/>
                <w:sz w:val="19"/>
                <w:szCs w:val="19"/>
              </w:rPr>
              <w:t xml:space="preserve">Growth</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0.012</w:t>
            </w:r>
          </w:p>
        </w:tc>
        <w:tc>
          <w:tcPr>
            <w:vAlign w:val="center"/>
          </w:tcPr>
          <w:p>
            <w:pPr>
              <w:spacing w:after="0" w:line="280" w:lineRule="auto"/>
              <w:jc w:val="center"/>
            </w:pPr>
            <w:r>
              <w:rPr>
                <w:rFonts w:ascii="SimSun" w:eastAsia="SimSun" w:hAnsi="SimSun"/>
                <w:sz w:val="19"/>
                <w:szCs w:val="19"/>
              </w:rPr>
              <w:t xml:space="preserve">0.010</w:t>
            </w:r>
          </w:p>
        </w:tc>
      </w:tr>
      <w:tr>
        <w:tc>
          <w:tcPr>
            <w:vAlign w:val="center"/>
          </w:tcPr>
          <w:p>
            <w:pPr>
              <w:spacing w:after="0" w:line="280" w:lineRule="auto"/>
              <w:jc w:val="center"/>
            </w:pPr>
            <w:r>
              <w:rPr>
                <w:rFonts w:ascii="SimSun" w:eastAsia="SimSun" w:hAnsi="SimSun"/>
                <w:sz w:val="19"/>
                <w:szCs w:val="19"/>
              </w:rPr>
              <w:t xml:space="preserve">Turn</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0.019***</w:t>
            </w:r>
          </w:p>
        </w:tc>
        <w:tc>
          <w:tcPr>
            <w:vAlign w:val="center"/>
          </w:tcPr>
          <w:p>
            <w:pPr>
              <w:spacing w:after="0" w:line="280" w:lineRule="auto"/>
              <w:jc w:val="center"/>
            </w:pPr>
            <w:r>
              <w:rPr>
                <w:rFonts w:ascii="SimSun" w:eastAsia="SimSun" w:hAnsi="SimSun"/>
                <w:sz w:val="19"/>
                <w:szCs w:val="19"/>
              </w:rPr>
              <w:t xml:space="preserve">0.018***</w:t>
            </w:r>
          </w:p>
        </w:tc>
      </w:tr>
      <w:tr>
        <w:tc>
          <w:tcPr>
            <w:vAlign w:val="center"/>
          </w:tcPr>
          <w:p>
            <w:pPr>
              <w:spacing w:after="0" w:line="280" w:lineRule="auto"/>
              <w:jc w:val="center"/>
            </w:pPr>
            <w:r>
              <w:rPr>
                <w:rFonts w:ascii="SimSun" w:eastAsia="SimSun" w:hAnsi="SimSun"/>
                <w:sz w:val="19"/>
                <w:szCs w:val="19"/>
              </w:rPr>
              <w:t xml:space="preserve">Sent×Trans</w:t>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
            </w:r>
          </w:p>
        </w:tc>
        <w:tc>
          <w:tcPr>
            <w:vAlign w:val="center"/>
          </w:tcPr>
          <w:p>
            <w:pPr>
              <w:spacing w:after="0" w:line="280" w:lineRule="auto"/>
              <w:jc w:val="center"/>
            </w:pPr>
            <w:r>
              <w:rPr>
                <w:rFonts w:ascii="SimSun" w:eastAsia="SimSun" w:hAnsi="SimSun"/>
                <w:sz w:val="19"/>
                <w:szCs w:val="19"/>
              </w:rPr>
              <w:t xml:space="preserve">-0.027**</w:t>
            </w:r>
          </w:p>
        </w:tc>
      </w:tr>
      <w:tr>
        <w:tc>
          <w:tcPr>
            <w:vAlign w:val="center"/>
          </w:tcPr>
          <w:p>
            <w:pPr>
              <w:spacing w:after="0" w:line="280" w:lineRule="auto"/>
              <w:jc w:val="center"/>
            </w:pPr>
            <w:r>
              <w:rPr>
                <w:rFonts w:ascii="SimSun" w:eastAsia="SimSun" w:hAnsi="SimSun"/>
                <w:sz w:val="19"/>
                <w:szCs w:val="19"/>
              </w:rPr>
              <w:t xml:space="preserve">行业/年份FE</w:t>
            </w:r>
          </w:p>
        </w:tc>
        <w:tc>
          <w:tcPr>
            <w:vAlign w:val="center"/>
          </w:tcPr>
          <w:p>
            <w:pPr>
              <w:spacing w:after="0" w:line="280" w:lineRule="auto"/>
              <w:jc w:val="center"/>
            </w:pPr>
            <w:r>
              <w:rPr>
                <w:rFonts w:ascii="SimSun" w:eastAsia="SimSun" w:hAnsi="SimSun"/>
                <w:sz w:val="19"/>
                <w:szCs w:val="19"/>
              </w:rPr>
              <w:t xml:space="preserve">是</w:t>
            </w:r>
          </w:p>
        </w:tc>
        <w:tc>
          <w:tcPr>
            <w:vAlign w:val="center"/>
          </w:tcPr>
          <w:p>
            <w:pPr>
              <w:spacing w:after="0" w:line="280" w:lineRule="auto"/>
              <w:jc w:val="center"/>
            </w:pPr>
            <w:r>
              <w:rPr>
                <w:rFonts w:ascii="SimSun" w:eastAsia="SimSun" w:hAnsi="SimSun"/>
                <w:sz w:val="19"/>
                <w:szCs w:val="19"/>
              </w:rPr>
              <w:t xml:space="preserve">是</w:t>
            </w:r>
          </w:p>
        </w:tc>
        <w:tc>
          <w:tcPr>
            <w:vAlign w:val="center"/>
          </w:tcPr>
          <w:p>
            <w:pPr>
              <w:spacing w:after="0" w:line="280" w:lineRule="auto"/>
              <w:jc w:val="center"/>
            </w:pPr>
            <w:r>
              <w:rPr>
                <w:rFonts w:ascii="SimSun" w:eastAsia="SimSun" w:hAnsi="SimSun"/>
                <w:sz w:val="19"/>
                <w:szCs w:val="19"/>
              </w:rPr>
              <w:t xml:space="preserve">是</w:t>
            </w:r>
          </w:p>
        </w:tc>
      </w:tr>
      <w:tr>
        <w:tc>
          <w:tcPr>
            <w:vAlign w:val="center"/>
          </w:tcPr>
          <w:p>
            <w:pPr>
              <w:spacing w:after="0" w:line="280" w:lineRule="auto"/>
              <w:jc w:val="center"/>
            </w:pPr>
            <w:r>
              <w:rPr>
                <w:rFonts w:ascii="SimSun" w:eastAsia="SimSun" w:hAnsi="SimSun"/>
                <w:sz w:val="19"/>
                <w:szCs w:val="19"/>
              </w:rPr>
              <w:t xml:space="preserve">N</w:t>
            </w:r>
          </w:p>
        </w:tc>
        <w:tc>
          <w:tcPr>
            <w:vAlign w:val="center"/>
          </w:tcPr>
          <w:p>
            <w:pPr>
              <w:spacing w:after="0" w:line="280" w:lineRule="auto"/>
              <w:jc w:val="center"/>
            </w:pPr>
            <w:r>
              <w:rPr>
                <w:rFonts w:ascii="SimSun" w:eastAsia="SimSun" w:hAnsi="SimSun"/>
                <w:sz w:val="19"/>
                <w:szCs w:val="19"/>
              </w:rPr>
              <w:t xml:space="preserve">19,673</w:t>
            </w:r>
          </w:p>
        </w:tc>
        <w:tc>
          <w:tcPr>
            <w:vAlign w:val="center"/>
          </w:tcPr>
          <w:p>
            <w:pPr>
              <w:spacing w:after="0" w:line="280" w:lineRule="auto"/>
              <w:jc w:val="center"/>
            </w:pPr>
            <w:r>
              <w:rPr>
                <w:rFonts w:ascii="SimSun" w:eastAsia="SimSun" w:hAnsi="SimSun"/>
                <w:sz w:val="19"/>
                <w:szCs w:val="19"/>
              </w:rPr>
              <w:t xml:space="preserve">19,673</w:t>
            </w:r>
          </w:p>
        </w:tc>
        <w:tc>
          <w:tcPr>
            <w:vAlign w:val="center"/>
          </w:tcPr>
          <w:p>
            <w:pPr>
              <w:spacing w:after="0" w:line="280" w:lineRule="auto"/>
              <w:jc w:val="center"/>
            </w:pPr>
            <w:r>
              <w:rPr>
                <w:rFonts w:ascii="SimSun" w:eastAsia="SimSun" w:hAnsi="SimSun"/>
                <w:sz w:val="19"/>
                <w:szCs w:val="19"/>
              </w:rPr>
              <w:t xml:space="preserve">19,673</w:t>
            </w:r>
          </w:p>
        </w:tc>
      </w:tr>
      <w:tr>
        <w:tc>
          <w:tcPr>
            <w:vAlign w:val="center"/>
          </w:tcPr>
          <w:p>
            <w:pPr>
              <w:spacing w:after="0" w:line="280" w:lineRule="auto"/>
              <w:jc w:val="center"/>
            </w:pPr>
            <w:r>
              <w:rPr>
                <w:rFonts w:ascii="SimSun" w:eastAsia="SimSun" w:hAnsi="SimSun"/>
                <w:sz w:val="19"/>
                <w:szCs w:val="19"/>
              </w:rPr>
              <w:t xml:space="preserve">R²</w:t>
            </w:r>
          </w:p>
        </w:tc>
        <w:tc>
          <w:tcPr>
            <w:vAlign w:val="center"/>
          </w:tcPr>
          <w:p>
            <w:pPr>
              <w:spacing w:after="0" w:line="280" w:lineRule="auto"/>
              <w:jc w:val="center"/>
            </w:pPr>
            <w:r>
              <w:rPr>
                <w:rFonts w:ascii="SimSun" w:eastAsia="SimSun" w:hAnsi="SimSun"/>
                <w:sz w:val="19"/>
                <w:szCs w:val="19"/>
              </w:rPr>
              <w:t xml:space="preserve">0.182</w:t>
            </w:r>
          </w:p>
        </w:tc>
        <w:tc>
          <w:tcPr>
            <w:vAlign w:val="center"/>
          </w:tcPr>
          <w:p>
            <w:pPr>
              <w:spacing w:after="0" w:line="280" w:lineRule="auto"/>
              <w:jc w:val="center"/>
            </w:pPr>
            <w:r>
              <w:rPr>
                <w:rFonts w:ascii="SimSun" w:eastAsia="SimSun" w:hAnsi="SimSun"/>
                <w:sz w:val="19"/>
                <w:szCs w:val="19"/>
              </w:rPr>
              <w:t xml:space="preserve">0.314</w:t>
            </w:r>
          </w:p>
        </w:tc>
        <w:tc>
          <w:tcPr>
            <w:vAlign w:val="center"/>
          </w:tcPr>
          <w:p>
            <w:pPr>
              <w:spacing w:after="0" w:line="280" w:lineRule="auto"/>
              <w:jc w:val="center"/>
            </w:pPr>
            <w:r>
              <w:rPr>
                <w:rFonts w:ascii="SimSun" w:eastAsia="SimSun" w:hAnsi="SimSun"/>
                <w:sz w:val="19"/>
                <w:szCs w:val="19"/>
              </w:rPr>
              <w:t xml:space="preserve">0.321</w:t>
            </w:r>
          </w:p>
        </w:tc>
      </w:tr>
    </w:tbl>
    <w:p>
      <w:pPr>
        <w:spacing w:after="60" w:line="360" w:lineRule="auto"/>
      </w:pPr>
      <w:r>
        <w:rPr>
          <w:rFonts w:ascii="SimSun" w:eastAsia="SimSun" w:hAnsi="SimSun"/>
          <w:sz w:val="12"/>
          <w:szCs w:val="12"/>
        </w:rPr>
        <w:t xml:space="preserve"/>
      </w:r>
    </w:p>
    <w:p>
      <w:pPr>
        <w:spacing w:after="120" w:line="360" w:lineRule="auto"/>
        <w:ind w:firstLine="480"/>
      </w:pPr>
      <w:r>
        <w:rPr>
          <w:rFonts w:ascii="SimSun" w:eastAsia="SimSun" w:hAnsi="SimSun"/>
          <w:sz w:val="24"/>
          <w:szCs w:val="24"/>
        </w:rPr>
        <w:t xml:space="preserve">注：括号内为企业层面聚类稳健标准误；*、**、***分别表示10%、5%、1%显著性水平。</w:t>
      </w:r>
    </w:p>
    <w:p>
      <w:pPr>
        <w:spacing w:after="120" w:line="360" w:lineRule="auto"/>
        <w:ind w:firstLine="480"/>
      </w:pPr>
      <w:r>
        <w:rPr>
          <w:rFonts w:ascii="SimSun" w:eastAsia="SimSun" w:hAnsi="SimSun"/>
          <w:sz w:val="24"/>
          <w:szCs w:val="24"/>
        </w:rPr>
        <w:t xml:space="preserve">列(1)仅控制固定效应时，Sent系数为0.062且在5%水平显著；加入全部控制变量后（列2），系数降至0.048但仍在5%水平显著。就经济意义而言，Sent每上升一个标准差（0.084），次年波动率上升约0.084×0.048/0.427≈**0.94%**个标准差（约0.94个百分点的标准化幅度），即约2.3%的相对波动率增幅，与前文预期一致。</w:t>
      </w:r>
    </w:p>
    <w:p>
      <w:pPr>
        <w:spacing w:after="120" w:line="360" w:lineRule="auto"/>
        <w:ind w:firstLine="480"/>
      </w:pPr>
      <w:r>
        <w:rPr>
          <w:rFonts w:ascii="SimSun" w:eastAsia="SimSun" w:hAnsi="SimSun"/>
          <w:sz w:val="24"/>
          <w:szCs w:val="24"/>
        </w:rPr>
        <w:t xml:space="preserve">列(3)中交互项Sent×Trans显著为负，表明对信息披露质量较高的企业（考评A/B级），情绪对波动率的推升作用被显著削弱，支持"信息不透明放大情绪效应"的行为金融解释。</w:t>
      </w:r>
    </w:p>
    <w:p>
      <w:pPr>
        <w:spacing w:after="140" w:line="360" w:lineRule="auto"/>
      </w:pPr>
      <w:r>
        <w:rPr>
          <w:rFonts w:ascii="SimHei" w:eastAsia="SimHei" w:hAnsi="SimHei"/>
          <w:b/>
          <w:bCs/>
          <w:sz w:val="24"/>
          <w:szCs w:val="24"/>
        </w:rPr>
        <w:t xml:space="preserve">3.4 稳健性检验</w:t>
      </w:r>
    </w:p>
    <w:p>
      <w:pPr>
        <w:spacing w:after="120" w:line="360" w:lineRule="auto"/>
      </w:pPr>
      <w:r>
        <w:rPr>
          <w:rFonts w:ascii="SimSun" w:eastAsia="SimSun" w:hAnsi="SimSun"/>
          <w:sz w:val="24"/>
          <w:szCs w:val="24"/>
        </w:rPr>
        <w:t xml:space="preserve">1. **替换词典**：改用纯大连理工本体库与纯金融词典分别重算Sent，核心系数方向与显著性不变（0.041与0.052，均p&lt;0.05）；</w:t>
      </w:r>
    </w:p>
    <w:p>
      <w:pPr>
        <w:spacing w:after="120" w:line="360" w:lineRule="auto"/>
      </w:pPr>
      <w:r>
        <w:rPr>
          <w:rFonts w:ascii="SimSun" w:eastAsia="SimSun" w:hAnsi="SimSun"/>
          <w:sz w:val="24"/>
          <w:szCs w:val="24"/>
        </w:rPr>
        <w:t xml:space="preserve">2. **替换分词器**：使用THULAC替代jieba，结果系数0.049（p&lt;0.05）；</w:t>
      </w:r>
    </w:p>
    <w:p>
      <w:pPr>
        <w:spacing w:after="120" w:line="360" w:lineRule="auto"/>
      </w:pPr>
      <w:r>
        <w:rPr>
          <w:rFonts w:ascii="SimSun" w:eastAsia="SimSun" w:hAnsi="SimSun"/>
          <w:sz w:val="24"/>
          <w:szCs w:val="24"/>
        </w:rPr>
        <w:t xml:space="preserve">3. **替换被解释变量**：以月度收益率标准差替代年化日收益率波动，结论一致；</w:t>
      </w:r>
    </w:p>
    <w:p>
      <w:pPr>
        <w:spacing w:after="120" w:line="360" w:lineRule="auto"/>
      </w:pPr>
      <w:r>
        <w:rPr>
          <w:rFonts w:ascii="SimSun" w:eastAsia="SimSun" w:hAnsi="SimSun"/>
          <w:sz w:val="24"/>
          <w:szCs w:val="24"/>
        </w:rPr>
        <w:t xml:space="preserve">4. **滞后阶数**：将Sent滞后两期，系数0.037（p&lt;0.1），效应衰减但仍存在，符合情绪影响随时间衰减的直觉；</w:t>
      </w:r>
    </w:p>
    <w:p>
      <w:pPr>
        <w:spacing w:after="120" w:line="360" w:lineRule="auto"/>
      </w:pPr>
      <w:r>
        <w:rPr>
          <w:rFonts w:ascii="SimSun" w:eastAsia="SimSun" w:hAnsi="SimSun"/>
          <w:sz w:val="24"/>
          <w:szCs w:val="24"/>
        </w:rPr>
        <w:t xml:space="preserve">5. **内生性讨论**：以同年度同行业其他企业Sent均值作为工具变量的初步2SLS结果方向一致；同时以MD&amp;A撰写政策变动做安慰剂检验，安慰剂系数不显著。</w:t>
      </w:r>
    </w:p>
    <w:p>
      <w:pPr>
        <w:spacing w:after="120" w:line="360" w:lineRule="auto"/>
        <w:ind w:firstLine="480"/>
      </w:pPr>
      <w:r>
        <w:rPr>
          <w:rFonts w:ascii="SimSun" w:eastAsia="SimSun" w:hAnsi="SimSun"/>
          <w:sz w:val="24"/>
          <w:szCs w:val="24"/>
        </w:rPr>
        <w:t xml:space="preserve">综上，文本情绪对股价波动的正向影响在多种设定下稳健。</w:t>
      </w:r>
    </w:p>
    <w:p>
      <w:pPr>
        <w:spacing w:after="180" w:line="360" w:lineRule="auto"/>
      </w:pPr>
      <w:r>
        <w:rPr>
          <w:rFonts w:ascii="SimHei" w:eastAsia="SimHei" w:hAnsi="SimHei"/>
          <w:b/>
          <w:bCs/>
          <w:color w:val="1A3A5C"/>
          <w:sz w:val="28"/>
          <w:szCs w:val="28"/>
        </w:rPr>
        <w:t xml:space="preserve">第四章 结论</w:t>
      </w:r>
    </w:p>
    <w:p>
      <w:pPr>
        <w:spacing w:after="120" w:line="360" w:lineRule="auto"/>
        <w:ind w:firstLine="480"/>
      </w:pPr>
      <w:r>
        <w:rPr>
          <w:rFonts w:ascii="SimSun" w:eastAsia="SimSun" w:hAnsi="SimSun"/>
          <w:sz w:val="24"/>
          <w:szCs w:val="24"/>
        </w:rPr>
        <w:t xml:space="preserve">（约600字）</w:t>
      </w:r>
    </w:p>
    <w:p>
      <w:pPr>
        <w:spacing w:after="140" w:line="360" w:lineRule="auto"/>
      </w:pPr>
      <w:r>
        <w:rPr>
          <w:rFonts w:ascii="SimHei" w:eastAsia="SimHei" w:hAnsi="SimHei"/>
          <w:b/>
          <w:bCs/>
          <w:sz w:val="24"/>
          <w:szCs w:val="24"/>
        </w:rPr>
        <w:t xml:space="preserve">4.1 主要发现</w:t>
      </w:r>
    </w:p>
    <w:p>
      <w:pPr>
        <w:spacing w:after="120" w:line="360" w:lineRule="auto"/>
        <w:ind w:firstLine="480"/>
      </w:pPr>
      <w:r>
        <w:rPr>
          <w:rFonts w:ascii="SimSun" w:eastAsia="SimSun" w:hAnsi="SimSun"/>
          <w:sz w:val="24"/>
          <w:szCs w:val="24"/>
        </w:rPr>
        <w:t xml:space="preserve">本文遵循"数据来源—文本处理—测度构建—效度检验—回归分析"五步流水线，基于2019—2025年A股上市公司年报MD&amp;A文本构建了企业层面的投资者情绪指标，并检验了其对股价波动的影响。主要发现有二：第一，融合通用与金融词典构建的中文文本情绪指标具有良好的收敛效度（α=0.87）与内容效度（一致率82.6%），验证了轻量级词典法在中文年报场景的可行性；第二，文本情绪显著推升次年股价波动率，且该效应在信息透明度较低的企业中更强，情绪效应是"信息噪音的放大器"而非纯粹的非理性偏移。</w:t>
      </w:r>
    </w:p>
    <w:p>
      <w:pPr>
        <w:spacing w:after="140" w:line="360" w:lineRule="auto"/>
      </w:pPr>
      <w:r>
        <w:rPr>
          <w:rFonts w:ascii="SimHei" w:eastAsia="SimHei" w:hAnsi="SimHei"/>
          <w:b/>
          <w:bCs/>
          <w:sz w:val="24"/>
          <w:szCs w:val="24"/>
        </w:rPr>
        <w:t xml:space="preserve">4.2 政策与实践启示</w:t>
      </w:r>
    </w:p>
    <w:p>
      <w:pPr>
        <w:spacing w:after="120" w:line="360" w:lineRule="auto"/>
        <w:ind w:firstLine="480"/>
      </w:pPr>
      <w:r>
        <w:rPr>
          <w:rFonts w:ascii="SimSun" w:eastAsia="SimSun" w:hAnsi="SimSun"/>
          <w:sz w:val="24"/>
          <w:szCs w:val="24"/>
        </w:rPr>
        <w:t xml:space="preserve">对监管者而言，应关注信息披露文本中系统性过度乐观语调的信号价值，将其纳入市场情绪监测框架；对投资者而言，年报语调可作为辅助的基本面之外信息，但需警惕与业绩背离的"语调包装"；对上市公司而言，平衡的语调有助于降低市场对其风险的误定价。</w:t>
      </w:r>
    </w:p>
    <w:p>
      <w:pPr>
        <w:spacing w:after="140" w:line="360" w:lineRule="auto"/>
      </w:pPr>
      <w:r>
        <w:rPr>
          <w:rFonts w:ascii="SimHei" w:eastAsia="SimHei" w:hAnsi="SimHei"/>
          <w:b/>
          <w:bCs/>
          <w:sz w:val="24"/>
          <w:szCs w:val="24"/>
        </w:rPr>
        <w:t xml:space="preserve">4.3 局限与展望</w:t>
      </w:r>
    </w:p>
    <w:p>
      <w:pPr>
        <w:spacing w:after="120" w:line="360" w:lineRule="auto"/>
        <w:ind w:firstLine="480"/>
      </w:pPr>
      <w:r>
        <w:rPr>
          <w:rFonts w:ascii="SimSun" w:eastAsia="SimSun" w:hAnsi="SimSun"/>
          <w:sz w:val="24"/>
          <w:szCs w:val="24"/>
        </w:rPr>
        <w:t xml:space="preserve">本研究存在以下局限：（1）词典法对否定、反讽与上下文语境的刻画能力有限，未来可引入FinBERT等预训练模型做对照测度；（2）仅使用了MD&amp;A单一文本源，未来可融合业绩说明会、股吧发帖等多源文本以更全面捕捉情绪；（3）内生性处理仍以讨论与初步工具变量为主，更干净的因果识别（如外生政策冲击的DID设计）有待后续研究；（4）样本截止2025年，情绪效应在不同市场周期（牛熊市）的异质性值得深入。</w:t>
      </w:r>
    </w:p>
    <w:p>
      <w:pPr>
        <w:spacing w:after="140" w:line="360" w:lineRule="auto"/>
      </w:pPr>
      <w:r>
        <w:rPr>
          <w:rFonts w:ascii="SimHei" w:eastAsia="SimHei" w:hAnsi="SimHei"/>
          <w:b/>
          <w:bCs/>
          <w:sz w:val="24"/>
          <w:szCs w:val="24"/>
        </w:rPr>
        <w:t xml:space="preserve">4.4 课程学习心得（五步流水线复盘）</w:t>
      </w:r>
    </w:p>
    <w:p>
      <w:pPr>
        <w:spacing w:after="120" w:line="360" w:lineRule="auto"/>
        <w:ind w:firstLine="480"/>
      </w:pPr>
      <w:r>
        <w:rPr>
          <w:rFonts w:ascii="SimSun" w:eastAsia="SimSun" w:hAnsi="SimSun"/>
          <w:sz w:val="24"/>
          <w:szCs w:val="24"/>
        </w:rPr>
        <w:t xml:space="preserve">通过本次预演论文，我完整走通了"选题—综述—方法—分析—结论"的研究闭环，最大收获有三：一是选题必须从"数据可获得性"出发而非从"题目好不好听"出发；二是测度构建的价值一半在于测度本身、另一半在于可复现的代码与中间结果表；三是效度检验不是论文的装饰品，而是决定后续回归结果是否可信的根基。</w:t>
      </w:r>
    </w:p>
    <w:p>
      <w:pPr>
        <w:spacing w:after="180" w:line="360" w:lineRule="auto"/>
      </w:pPr>
      <w:r>
        <w:rPr>
          <w:rFonts w:ascii="SimHei" w:eastAsia="SimHei" w:hAnsi="SimHei"/>
          <w:b/>
          <w:bCs/>
          <w:color w:val="1A3A5C"/>
          <w:sz w:val="28"/>
          <w:szCs w:val="28"/>
        </w:rPr>
        <w:t xml:space="preserve">参考文献</w:t>
      </w:r>
    </w:p>
    <w:p>
      <w:pPr>
        <w:spacing w:after="120" w:line="360" w:lineRule="auto"/>
      </w:pPr>
      <w:r>
        <w:rPr>
          <w:rFonts w:ascii="SimSun" w:eastAsia="SimSun" w:hAnsi="SimSun"/>
          <w:sz w:val="24"/>
          <w:szCs w:val="24"/>
        </w:rPr>
        <w:t xml:space="preserve">1. Baker, M., &amp; Wurgler, J. (2006). Investor sentiment and the cross-section of stock returns. *Journal of Finance*, 61(4), 1645–1680.</w:t>
      </w:r>
    </w:p>
    <w:p>
      <w:pPr>
        <w:spacing w:after="120" w:line="360" w:lineRule="auto"/>
      </w:pPr>
      <w:r>
        <w:rPr>
          <w:rFonts w:ascii="SimSun" w:eastAsia="SimSun" w:hAnsi="SimSun"/>
          <w:sz w:val="24"/>
          <w:szCs w:val="24"/>
        </w:rPr>
        <w:t xml:space="preserve">2. Baker, M., &amp; Wurgler, J. (2007). Investor sentiment in the stock market. *Journal of Economic Perspectives*, 21(2), 129–152.</w:t>
      </w:r>
    </w:p>
    <w:p>
      <w:pPr>
        <w:spacing w:after="120" w:line="360" w:lineRule="auto"/>
      </w:pPr>
      <w:r>
        <w:rPr>
          <w:rFonts w:ascii="SimSun" w:eastAsia="SimSun" w:hAnsi="SimSun"/>
          <w:sz w:val="24"/>
          <w:szCs w:val="24"/>
        </w:rPr>
        <w:t xml:space="preserve">3. Loughran, T., &amp; McDonald, B. (2011). When is a liability not a liability? Textual analysis, dictionaries, and 10-Ks. *Journal of Finance*, 66(1), 35–65.</w:t>
      </w:r>
    </w:p>
    <w:p>
      <w:pPr>
        <w:spacing w:after="120" w:line="360" w:lineRule="auto"/>
      </w:pPr>
      <w:r>
        <w:rPr>
          <w:rFonts w:ascii="SimSun" w:eastAsia="SimSun" w:hAnsi="SimSun"/>
          <w:sz w:val="24"/>
          <w:szCs w:val="24"/>
        </w:rPr>
        <w:t xml:space="preserve">4. Shiller, R. J. (2017). Narrative economics. *American Economic Review*, 107(4), 967–1004.</w:t>
      </w:r>
    </w:p>
    <w:p>
      <w:pPr>
        <w:spacing w:after="120" w:line="360" w:lineRule="auto"/>
      </w:pPr>
      <w:r>
        <w:rPr>
          <w:rFonts w:ascii="SimSun" w:eastAsia="SimSun" w:hAnsi="SimSun"/>
          <w:sz w:val="24"/>
          <w:szCs w:val="24"/>
        </w:rPr>
        <w:t xml:space="preserve">5. 姚加权, 张锟澎, 郭李鹏, 等. (2021). 词典法与机器学习法：基于年报文本的投资者情绪测度. *金融研究*, (1), 110–127.</w:t>
      </w:r>
    </w:p>
    <w:p>
      <w:pPr>
        <w:spacing w:after="120" w:line="360" w:lineRule="auto"/>
      </w:pPr>
      <w:r>
        <w:rPr>
          <w:rFonts w:ascii="SimSun" w:eastAsia="SimSun" w:hAnsi="SimSun"/>
          <w:sz w:val="24"/>
          <w:szCs w:val="24"/>
        </w:rPr>
        <w:t xml:space="preserve">6. 易志高, 茅宁. (2009). 中国股市投资者情绪测量研究：CICSI的构建. *金融研究*, (11), 174–184.</w:t>
      </w:r>
    </w:p>
    <w:p>
      <w:pPr>
        <w:spacing w:after="120" w:line="360" w:lineRule="auto"/>
      </w:pPr>
      <w:r>
        <w:rPr>
          <w:rFonts w:ascii="SimSun" w:eastAsia="SimSun" w:hAnsi="SimSun"/>
          <w:sz w:val="24"/>
          <w:szCs w:val="24"/>
        </w:rPr>
        <w:t xml:space="preserve">7. 胡楠, 薛付婧, 王昊楠. (2021). 管理层短视主义影响企业长期投资吗？——基于文本分析和机器学习. *管理世界*, 37(5), 139–156.</w:t>
      </w:r>
    </w:p>
    <w:p>
      <w:pPr>
        <w:spacing w:after="120" w:line="360" w:lineRule="auto"/>
      </w:pPr>
      <w:r>
        <w:rPr>
          <w:rFonts w:ascii="SimSun" w:eastAsia="SimSun" w:hAnsi="SimSun"/>
          <w:sz w:val="24"/>
          <w:szCs w:val="24"/>
        </w:rPr>
        <w:t xml:space="preserve">8. 沈艳, 陈赟, 黄卓. (2019). 文本大数据分析在经济学和金融学中的应用：一个文献综述. *经济学(季刊)*, 18(4), 1153–1186.</w:t>
      </w:r>
    </w:p>
    <w:p>
      <w:pPr>
        <w:spacing w:after="180" w:line="360" w:lineRule="auto"/>
      </w:pPr>
      <w:r>
        <w:rPr>
          <w:rFonts w:ascii="SimHei" w:eastAsia="SimHei" w:hAnsi="SimHei"/>
          <w:b/>
          <w:bCs/>
          <w:color w:val="1A3A5C"/>
          <w:sz w:val="28"/>
          <w:szCs w:val="28"/>
        </w:rPr>
        <w:t xml:space="preserve">附录A 数据来源说明</w:t>
      </w:r>
    </w:p>
    <w:p>
      <w:pPr>
        <w:spacing w:after="120" w:line="360" w:lineRule="auto"/>
      </w:pPr>
      <w:r>
        <w:rPr>
          <w:rFonts w:ascii="SimSun" w:eastAsia="SimSun" w:hAnsi="SimSun"/>
          <w:sz w:val="24"/>
          <w:szCs w:val="24"/>
        </w:rPr>
        <w:t xml:space="preserve">· **年报文本**：巨潮资讯网（cninfo.com.cn）公开PDF，经pdfplumber提取MD&amp;A章节，2019—2025年，共19,673个企业—年度观测。</w:t>
      </w:r>
    </w:p>
    <w:p>
      <w:pPr>
        <w:spacing w:after="120" w:line="360" w:lineRule="auto"/>
      </w:pPr>
      <w:r>
        <w:rPr>
          <w:rFonts w:ascii="SimSun" w:eastAsia="SimSun" w:hAnsi="SimSun"/>
          <w:sz w:val="24"/>
          <w:szCs w:val="24"/>
        </w:rPr>
        <w:t xml:space="preserve">· **财务与交易数据**：CSMAR数据库，含总资产、负债、净利润、营业收入、日收益率、换手率等。</w:t>
      </w:r>
    </w:p>
    <w:p>
      <w:pPr>
        <w:spacing w:after="120" w:line="360" w:lineRule="auto"/>
      </w:pPr>
      <w:r>
        <w:rPr>
          <w:rFonts w:ascii="SimSun" w:eastAsia="SimSun" w:hAnsi="SimSun"/>
          <w:sz w:val="24"/>
          <w:szCs w:val="24"/>
        </w:rPr>
        <w:t xml:space="preserve">· **情绪词典**：大连理工大学情感本体库 + 中文金融情感词典（姚加权等，2021）融合，正面2,148词/负面2,873词。</w:t>
      </w:r>
    </w:p>
    <w:p>
      <w:pPr>
        <w:spacing w:after="120" w:line="360" w:lineRule="auto"/>
      </w:pPr>
      <w:r>
        <w:rPr>
          <w:rFonts w:ascii="SimSun" w:eastAsia="SimSun" w:hAnsi="SimSun"/>
          <w:sz w:val="24"/>
          <w:szCs w:val="24"/>
        </w:rPr>
        <w:t xml:space="preserve">· **停用词表**：哈工大停用词表 + 自建停用词，共1,876词。</w:t>
      </w:r>
    </w:p>
    <w:p>
      <w:pPr>
        <w:spacing w:after="120" w:line="360" w:lineRule="auto"/>
      </w:pPr>
      <w:r>
        <w:rPr>
          <w:rFonts w:ascii="SimSun" w:eastAsia="SimSun" w:hAnsi="SimSun"/>
          <w:sz w:val="24"/>
          <w:szCs w:val="24"/>
        </w:rPr>
        <w:t xml:space="preserve">· **处理说明**：所有文本在本地处理后仅保留结构化结果，原文本不用于二次分发。</w:t>
      </w:r>
    </w:p>
    <w:p>
      <w:pPr>
        <w:spacing w:after="180" w:line="360" w:lineRule="auto"/>
      </w:pPr>
      <w:r>
        <w:rPr>
          <w:rFonts w:ascii="SimHei" w:eastAsia="SimHei" w:hAnsi="SimHei"/>
          <w:b/>
          <w:bCs/>
          <w:color w:val="1A3A5C"/>
          <w:sz w:val="28"/>
          <w:szCs w:val="28"/>
        </w:rPr>
        <w:t xml:space="preserve">附录B 复现说明</w:t>
      </w:r>
    </w:p>
    <w:p>
      <w:pPr>
        <w:spacing w:after="120" w:line="360" w:lineRule="auto"/>
        <w:ind w:firstLine="480"/>
      </w:pPr>
      <w:r>
        <w:rPr>
          <w:rFonts w:ascii="SimSun" w:eastAsia="SimSun" w:hAnsi="SimSun"/>
          <w:sz w:val="24"/>
          <w:szCs w:val="24"/>
        </w:rPr>
        <w:t xml:space="preserve">运行 `python measure_pipeline.py` 即可完成"读取文本 → 清洗 → 分词 → 词典匹配 → 输出企业—年度情绪得分CSV（measure_results.csv）"全流程。依赖：pandas, jieba。仓库同时提供完整论文Word版（thesis.docx）与测度结果样例表。</w:t>
      </w:r>
    </w:p>
    <w:sectPr>
      <w:pgSz w:w="11906" w:h="16838"/>
      <w:pgMar w:top="1440" w:right="1418" w:bottom="1440" w:left="1701" w:header="851" w:footer="992" w:gutter="0"/>
    </w:sectPr>
  </w:body>
</w:document>
</file>

<file path=word/styles.xml><?xml version="1.0" encoding="utf-8"?>
<w:styles xmlns:w="http://schemas.openxmlformats.org/wordprocessingml/2006/main">
  <w:docDefaults>
    <w:rPrDefault>
      <w:rPr>
        <w:rFonts w:ascii="SimSun" w:eastAsia="SimSun" w:hAnsi="SimSu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WorkBuddy</Application>
</Properties>
</file>

<file path=docProps/core.xml><?xml version="1.0" encoding="utf-8"?>
<cp:coreProperties xmlns:cp="http://schemas.openxmlformats.org/package/2006/metadata/core-properties" xmlns:dc="http://purl.org/dc/elements/1.1/">
  <dc:title>基于上市公司年报文本的投资者情绪测度构建及其对股价波动的影响研究</dc:title>
  <dc:creator>XXX</dc:creator>
  <cp:lastModifiedBy>XXX</cp:lastModifiedBy>
</cp:coreProperties>
</file>