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71282">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B71282"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B71282">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was not included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source of visual working memory capacity is interference. While participant can remember unlimited </w:t>
      </w:r>
      <w:r w:rsidR="00FD0824">
        <w:t>number</w:t>
      </w:r>
      <w:r w:rsidR="009D0072">
        <w:t xml:space="preserve"> of items, items creates interference with each other, and the precision of recall decreases as result. </w:t>
      </w:r>
      <w:r w:rsidR="006B5746">
        <w:t xml:space="preserve">In the </w:t>
      </w:r>
      <w:r w:rsidR="00FD0824">
        <w:t xml:space="preserve">Interference Model, </w:t>
      </w:r>
    </w:p>
    <w:p w:rsidR="00FD0824" w:rsidRDefault="00FD0824" w:rsidP="00425743">
      <w:pPr>
        <w:ind w:firstLine="0"/>
      </w:pPr>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w:t>
      </w:r>
      <w:r w:rsidR="00787225">
        <w:lastRenderedPageBreak/>
        <w:t xml:space="preserve">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w:t>
      </w:r>
      <w:r w:rsidR="00B037AF">
        <w:lastRenderedPageBreak/>
        <w:t xml:space="preserve">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t>
      </w:r>
      <w:r w:rsidR="00F35FFD">
        <w:lastRenderedPageBreak/>
        <w:t xml:space="preserve">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SciPy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precision of recall and the probability of recalling the target in the decision rule. The second </w:t>
      </w:r>
      <w:r>
        <w:lastRenderedPageBreak/>
        <w:t>dimension is whether the Bayesian Inference rule has the knowledge of the probability of 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E11B08">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w:t>
      </w:r>
      <w:r>
        <w:lastRenderedPageBreak/>
        <w:t xml:space="preserve">average, the IM won on the SA and the VP over xx and xx on AIC and xx and xx on BIC per participants, see Table x for the summary of the goodness of fits. The SA and the VP fitted the 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lastRenderedPageBreak/>
        <w:t>Conclusion and General Discussion</w:t>
      </w:r>
    </w:p>
    <w:p w:rsidR="007E7CD1" w:rsidRDefault="00F83BC7" w:rsidP="007E7CD1">
      <w:r>
        <w:t>Generic conclusion</w:t>
      </w:r>
    </w:p>
    <w:p w:rsidR="00C31F6B" w:rsidRDefault="00C31F6B" w:rsidP="007E7CD1">
      <w:r>
        <w:t xml:space="preserve">In this study, we tested the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lastRenderedPageBreak/>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9C320F" w:rsidP="00686C7D">
      <w:pPr>
        <w:ind w:firstLine="0"/>
      </w:pPr>
      <w:bookmarkStart w:id="0" w:name="_GoBack"/>
      <w:bookmarkEnd w:id="0"/>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282" w:rsidRDefault="00B71282">
      <w:pPr>
        <w:spacing w:line="240" w:lineRule="auto"/>
      </w:pPr>
      <w:r>
        <w:separator/>
      </w:r>
    </w:p>
    <w:p w:rsidR="00B71282" w:rsidRDefault="00B71282"/>
  </w:endnote>
  <w:endnote w:type="continuationSeparator" w:id="0">
    <w:p w:rsidR="00B71282" w:rsidRDefault="00B71282">
      <w:pPr>
        <w:spacing w:line="240" w:lineRule="auto"/>
      </w:pPr>
      <w:r>
        <w:continuationSeparator/>
      </w:r>
    </w:p>
    <w:p w:rsidR="00B71282" w:rsidRDefault="00B71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282" w:rsidRDefault="00B71282">
      <w:pPr>
        <w:spacing w:line="240" w:lineRule="auto"/>
      </w:pPr>
      <w:r>
        <w:separator/>
      </w:r>
    </w:p>
    <w:p w:rsidR="00B71282" w:rsidRDefault="00B71282"/>
  </w:footnote>
  <w:footnote w:type="continuationSeparator" w:id="0">
    <w:p w:rsidR="00B71282" w:rsidRDefault="00B71282">
      <w:pPr>
        <w:spacing w:line="240" w:lineRule="auto"/>
      </w:pPr>
      <w:r>
        <w:continuationSeparator/>
      </w:r>
    </w:p>
    <w:p w:rsidR="00B71282" w:rsidRDefault="00B71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71282">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85C">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B368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3NjAxNrM0NDIwNjVW0lEKTi0uzszPAykwNKwFAOS6xQktAAAA"/>
  </w:docVars>
  <w:rsids>
    <w:rsidRoot w:val="00D71F66"/>
    <w:rsid w:val="000234AE"/>
    <w:rsid w:val="00036733"/>
    <w:rsid w:val="000471F4"/>
    <w:rsid w:val="00057233"/>
    <w:rsid w:val="0006540F"/>
    <w:rsid w:val="00065B15"/>
    <w:rsid w:val="000B79A0"/>
    <w:rsid w:val="000C29DC"/>
    <w:rsid w:val="000D061B"/>
    <w:rsid w:val="000D3F41"/>
    <w:rsid w:val="000E3C52"/>
    <w:rsid w:val="000E7A99"/>
    <w:rsid w:val="000F122B"/>
    <w:rsid w:val="000F51B6"/>
    <w:rsid w:val="00113D48"/>
    <w:rsid w:val="00124B82"/>
    <w:rsid w:val="00130518"/>
    <w:rsid w:val="00131D54"/>
    <w:rsid w:val="00132864"/>
    <w:rsid w:val="00134374"/>
    <w:rsid w:val="001417DB"/>
    <w:rsid w:val="00146404"/>
    <w:rsid w:val="00160CEE"/>
    <w:rsid w:val="0016283A"/>
    <w:rsid w:val="001717B5"/>
    <w:rsid w:val="001A08BE"/>
    <w:rsid w:val="001A1192"/>
    <w:rsid w:val="001B19E1"/>
    <w:rsid w:val="001E4030"/>
    <w:rsid w:val="00217479"/>
    <w:rsid w:val="002326E0"/>
    <w:rsid w:val="0024132A"/>
    <w:rsid w:val="00246E25"/>
    <w:rsid w:val="0026052D"/>
    <w:rsid w:val="002744AF"/>
    <w:rsid w:val="002827C9"/>
    <w:rsid w:val="002A0F3F"/>
    <w:rsid w:val="002A5D9F"/>
    <w:rsid w:val="002C367F"/>
    <w:rsid w:val="002E50A5"/>
    <w:rsid w:val="002E6C42"/>
    <w:rsid w:val="003135DD"/>
    <w:rsid w:val="00321FF0"/>
    <w:rsid w:val="00327AE2"/>
    <w:rsid w:val="00336876"/>
    <w:rsid w:val="00340031"/>
    <w:rsid w:val="00343879"/>
    <w:rsid w:val="00355A89"/>
    <w:rsid w:val="00355DCA"/>
    <w:rsid w:val="00367E1B"/>
    <w:rsid w:val="003817D6"/>
    <w:rsid w:val="0038491C"/>
    <w:rsid w:val="00387CF0"/>
    <w:rsid w:val="003953F4"/>
    <w:rsid w:val="003B4453"/>
    <w:rsid w:val="003C41C6"/>
    <w:rsid w:val="00425743"/>
    <w:rsid w:val="004376B5"/>
    <w:rsid w:val="00457313"/>
    <w:rsid w:val="004629B3"/>
    <w:rsid w:val="00494E32"/>
    <w:rsid w:val="004A48A5"/>
    <w:rsid w:val="004C47D4"/>
    <w:rsid w:val="004D00A2"/>
    <w:rsid w:val="00522A7B"/>
    <w:rsid w:val="00527791"/>
    <w:rsid w:val="00546089"/>
    <w:rsid w:val="00551A02"/>
    <w:rsid w:val="005534FA"/>
    <w:rsid w:val="00553BB5"/>
    <w:rsid w:val="005644DD"/>
    <w:rsid w:val="005657ED"/>
    <w:rsid w:val="0058612E"/>
    <w:rsid w:val="00591BA7"/>
    <w:rsid w:val="005A3F34"/>
    <w:rsid w:val="005A77EE"/>
    <w:rsid w:val="005B368C"/>
    <w:rsid w:val="005D3453"/>
    <w:rsid w:val="005D3A03"/>
    <w:rsid w:val="00600ADB"/>
    <w:rsid w:val="00606401"/>
    <w:rsid w:val="0060718E"/>
    <w:rsid w:val="006147AD"/>
    <w:rsid w:val="00614BFA"/>
    <w:rsid w:val="00626244"/>
    <w:rsid w:val="00630969"/>
    <w:rsid w:val="00632F9D"/>
    <w:rsid w:val="00635633"/>
    <w:rsid w:val="0063706D"/>
    <w:rsid w:val="006860C0"/>
    <w:rsid w:val="00686C7D"/>
    <w:rsid w:val="006A1C2F"/>
    <w:rsid w:val="006B4A31"/>
    <w:rsid w:val="006B5746"/>
    <w:rsid w:val="006D6979"/>
    <w:rsid w:val="006F615E"/>
    <w:rsid w:val="006F7CB2"/>
    <w:rsid w:val="00701459"/>
    <w:rsid w:val="00727BFC"/>
    <w:rsid w:val="00736C58"/>
    <w:rsid w:val="007530B9"/>
    <w:rsid w:val="00765B9F"/>
    <w:rsid w:val="00785EF1"/>
    <w:rsid w:val="00787225"/>
    <w:rsid w:val="00795256"/>
    <w:rsid w:val="007B5E39"/>
    <w:rsid w:val="007C39EB"/>
    <w:rsid w:val="007E7CD1"/>
    <w:rsid w:val="008002C0"/>
    <w:rsid w:val="008120EE"/>
    <w:rsid w:val="0081416B"/>
    <w:rsid w:val="00822971"/>
    <w:rsid w:val="0084002C"/>
    <w:rsid w:val="00846303"/>
    <w:rsid w:val="00850F7E"/>
    <w:rsid w:val="00886677"/>
    <w:rsid w:val="008B085C"/>
    <w:rsid w:val="008C3901"/>
    <w:rsid w:val="008C5323"/>
    <w:rsid w:val="008D3A8C"/>
    <w:rsid w:val="008E2BE4"/>
    <w:rsid w:val="008F164E"/>
    <w:rsid w:val="008F3F63"/>
    <w:rsid w:val="008F570C"/>
    <w:rsid w:val="00903197"/>
    <w:rsid w:val="009254CA"/>
    <w:rsid w:val="00955E3B"/>
    <w:rsid w:val="0096675D"/>
    <w:rsid w:val="00971FB4"/>
    <w:rsid w:val="009743C5"/>
    <w:rsid w:val="0097473D"/>
    <w:rsid w:val="00980E4A"/>
    <w:rsid w:val="0099172A"/>
    <w:rsid w:val="009919E5"/>
    <w:rsid w:val="009A6A3B"/>
    <w:rsid w:val="009B0723"/>
    <w:rsid w:val="009B4894"/>
    <w:rsid w:val="009C320F"/>
    <w:rsid w:val="009C4201"/>
    <w:rsid w:val="009C784A"/>
    <w:rsid w:val="009D0072"/>
    <w:rsid w:val="009D06D0"/>
    <w:rsid w:val="009D2EDF"/>
    <w:rsid w:val="009F38B3"/>
    <w:rsid w:val="009F6350"/>
    <w:rsid w:val="00A31B3B"/>
    <w:rsid w:val="00A42568"/>
    <w:rsid w:val="00A44FC1"/>
    <w:rsid w:val="00A70CB9"/>
    <w:rsid w:val="00A77B8C"/>
    <w:rsid w:val="00A80313"/>
    <w:rsid w:val="00A80B19"/>
    <w:rsid w:val="00A83259"/>
    <w:rsid w:val="00A94188"/>
    <w:rsid w:val="00AB0981"/>
    <w:rsid w:val="00AC361D"/>
    <w:rsid w:val="00AC7DED"/>
    <w:rsid w:val="00AE3777"/>
    <w:rsid w:val="00B037AF"/>
    <w:rsid w:val="00B17382"/>
    <w:rsid w:val="00B305B4"/>
    <w:rsid w:val="00B403A1"/>
    <w:rsid w:val="00B636D4"/>
    <w:rsid w:val="00B71282"/>
    <w:rsid w:val="00B81B75"/>
    <w:rsid w:val="00B823AA"/>
    <w:rsid w:val="00B90BC9"/>
    <w:rsid w:val="00BA26D5"/>
    <w:rsid w:val="00BA45DB"/>
    <w:rsid w:val="00BB38B7"/>
    <w:rsid w:val="00BC0FE2"/>
    <w:rsid w:val="00BC6ABC"/>
    <w:rsid w:val="00BE1207"/>
    <w:rsid w:val="00BF21C5"/>
    <w:rsid w:val="00BF4184"/>
    <w:rsid w:val="00BF71A0"/>
    <w:rsid w:val="00C04205"/>
    <w:rsid w:val="00C0601E"/>
    <w:rsid w:val="00C07FA4"/>
    <w:rsid w:val="00C26EA8"/>
    <w:rsid w:val="00C31D30"/>
    <w:rsid w:val="00C31F6B"/>
    <w:rsid w:val="00C3780B"/>
    <w:rsid w:val="00C417B3"/>
    <w:rsid w:val="00C47A44"/>
    <w:rsid w:val="00C7564F"/>
    <w:rsid w:val="00C81473"/>
    <w:rsid w:val="00CA0F19"/>
    <w:rsid w:val="00CB0619"/>
    <w:rsid w:val="00CD6E39"/>
    <w:rsid w:val="00CE13A0"/>
    <w:rsid w:val="00CE6D95"/>
    <w:rsid w:val="00CF6E91"/>
    <w:rsid w:val="00D06544"/>
    <w:rsid w:val="00D1627E"/>
    <w:rsid w:val="00D34C52"/>
    <w:rsid w:val="00D36897"/>
    <w:rsid w:val="00D4589A"/>
    <w:rsid w:val="00D465EA"/>
    <w:rsid w:val="00D57C6F"/>
    <w:rsid w:val="00D62489"/>
    <w:rsid w:val="00D7106D"/>
    <w:rsid w:val="00D71F66"/>
    <w:rsid w:val="00D85B68"/>
    <w:rsid w:val="00D97DE1"/>
    <w:rsid w:val="00DA2B9F"/>
    <w:rsid w:val="00DB2F58"/>
    <w:rsid w:val="00DE0477"/>
    <w:rsid w:val="00DE1780"/>
    <w:rsid w:val="00DF37B4"/>
    <w:rsid w:val="00DF5FA7"/>
    <w:rsid w:val="00DF7E94"/>
    <w:rsid w:val="00E0158F"/>
    <w:rsid w:val="00E03C4C"/>
    <w:rsid w:val="00E11B08"/>
    <w:rsid w:val="00E21358"/>
    <w:rsid w:val="00E2769C"/>
    <w:rsid w:val="00E33F49"/>
    <w:rsid w:val="00E35B15"/>
    <w:rsid w:val="00E37507"/>
    <w:rsid w:val="00E50591"/>
    <w:rsid w:val="00E5286F"/>
    <w:rsid w:val="00E546BD"/>
    <w:rsid w:val="00E6004D"/>
    <w:rsid w:val="00E67A59"/>
    <w:rsid w:val="00E7186C"/>
    <w:rsid w:val="00E73786"/>
    <w:rsid w:val="00E750D6"/>
    <w:rsid w:val="00E81978"/>
    <w:rsid w:val="00E81F0C"/>
    <w:rsid w:val="00E96256"/>
    <w:rsid w:val="00ED1562"/>
    <w:rsid w:val="00ED5CC0"/>
    <w:rsid w:val="00ED7C56"/>
    <w:rsid w:val="00EE05D4"/>
    <w:rsid w:val="00EF5A8D"/>
    <w:rsid w:val="00F138DF"/>
    <w:rsid w:val="00F23A89"/>
    <w:rsid w:val="00F25F27"/>
    <w:rsid w:val="00F35FFD"/>
    <w:rsid w:val="00F379B7"/>
    <w:rsid w:val="00F50569"/>
    <w:rsid w:val="00F525FA"/>
    <w:rsid w:val="00F70F83"/>
    <w:rsid w:val="00F8111A"/>
    <w:rsid w:val="00F83BC7"/>
    <w:rsid w:val="00FA6868"/>
    <w:rsid w:val="00FA6D12"/>
    <w:rsid w:val="00FC6DFD"/>
    <w:rsid w:val="00FC7FC4"/>
    <w:rsid w:val="00FD0824"/>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3F344"/>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85"/>
    <w:rsid w:val="00092DBD"/>
    <w:rsid w:val="002E1B40"/>
    <w:rsid w:val="003315D6"/>
    <w:rsid w:val="00445028"/>
    <w:rsid w:val="004A1AB4"/>
    <w:rsid w:val="00753C3B"/>
    <w:rsid w:val="008A4C9A"/>
    <w:rsid w:val="009F060A"/>
    <w:rsid w:val="00A07F56"/>
    <w:rsid w:val="00A638EE"/>
    <w:rsid w:val="00DA7D22"/>
    <w:rsid w:val="00DB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B232F87-4483-45EC-8800-CEA5D4D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15</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182</cp:revision>
  <dcterms:created xsi:type="dcterms:W3CDTF">2018-05-02T10:27:00Z</dcterms:created>
  <dcterms:modified xsi:type="dcterms:W3CDTF">2018-09-12T03:55:00Z</dcterms:modified>
</cp:coreProperties>
</file>