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4B0DCB">
      <w:pPr>
        <w:pStyle w:val="Title"/>
      </w:pPr>
      <w:sdt>
        <w:sdtPr>
          <w:alias w:val="Title"/>
          <w:tag w:val=""/>
          <w:id w:val="72635111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210B">
            <w:t>The Multi-Items Rearrangement Task: a Faster and Reliable Method for Acquiring Similarity Matrix</w:t>
          </w:r>
        </w:sdtContent>
      </w:sdt>
    </w:p>
    <w:p w:rsidR="00C10684" w:rsidRPr="0021196F" w:rsidRDefault="00F74B18">
      <w:pPr>
        <w:pStyle w:val="Title2"/>
        <w:rPr>
          <w:lang w:val="de-CH"/>
        </w:rPr>
      </w:pPr>
      <w:r w:rsidRPr="0021196F">
        <w:rPr>
          <w:lang w:val="de-CH"/>
        </w:rPr>
        <w:t>Hsuan-Yu Lin</w:t>
      </w:r>
      <w:r w:rsidR="0027785A" w:rsidRPr="0021196F">
        <w:rPr>
          <w:vertAlign w:val="superscript"/>
          <w:lang w:val="de-CH"/>
        </w:rPr>
        <w:t>a</w:t>
      </w:r>
    </w:p>
    <w:p w:rsidR="00C10684" w:rsidRPr="0021196F" w:rsidRDefault="002655ED">
      <w:pPr>
        <w:pStyle w:val="Title2"/>
        <w:rPr>
          <w:lang w:val="de-CH"/>
        </w:rPr>
      </w:pPr>
      <w:r w:rsidRPr="0021196F">
        <w:rPr>
          <w:lang w:val="de-CH"/>
        </w:rPr>
        <w:t>Alexei Fischer</w:t>
      </w:r>
      <w:r w:rsidR="0027785A" w:rsidRPr="0021196F">
        <w:rPr>
          <w:vertAlign w:val="superscript"/>
          <w:lang w:val="de-CH"/>
        </w:rPr>
        <w:t>b</w:t>
      </w:r>
    </w:p>
    <w:p w:rsidR="00987B26" w:rsidRPr="0027785A" w:rsidRDefault="00987B26">
      <w:pPr>
        <w:pStyle w:val="Title2"/>
        <w:rPr>
          <w:lang w:val="de-CH"/>
        </w:rPr>
      </w:pPr>
      <w:r w:rsidRPr="0027785A">
        <w:rPr>
          <w:lang w:val="de-CH"/>
        </w:rPr>
        <w:t>Klaus Oberauer</w:t>
      </w:r>
      <w:r w:rsidR="0027785A" w:rsidRPr="0027785A">
        <w:rPr>
          <w:vertAlign w:val="superscript"/>
          <w:lang w:val="de-CH"/>
        </w:rPr>
        <w:t>a</w:t>
      </w:r>
    </w:p>
    <w:p w:rsidR="0031081F" w:rsidRPr="0021196F" w:rsidRDefault="00372FB5">
      <w:pPr>
        <w:pStyle w:val="Title2"/>
      </w:pPr>
      <w:r w:rsidRPr="0021196F">
        <w:t xml:space="preserve">University of </w:t>
      </w:r>
      <w:proofErr w:type="spellStart"/>
      <w:r w:rsidRPr="0021196F">
        <w:t>Zurich</w:t>
      </w:r>
      <w:r w:rsidR="0027785A" w:rsidRPr="0021196F">
        <w:rPr>
          <w:vertAlign w:val="superscript"/>
        </w:rPr>
        <w:t>a</w:t>
      </w:r>
      <w:proofErr w:type="spellEnd"/>
      <w:r w:rsidRPr="0021196F">
        <w:t>, ??????</w:t>
      </w:r>
      <w:r w:rsidR="0027785A" w:rsidRPr="0021196F">
        <w:rPr>
          <w:vertAlign w:val="superscript"/>
        </w:rPr>
        <w:t>b</w:t>
      </w:r>
    </w:p>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4B0DCB">
      <w:pPr>
        <w:pStyle w:val="SectionTitle"/>
      </w:pPr>
      <w:sdt>
        <w:sdtPr>
          <w:alias w:val="Title"/>
          <w:tag w:val=""/>
          <w:id w:val="98419670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210B" w:rsidRPr="00F74B18">
            <w:t>The Multi-Items Rearrangement Task: a Faster and Reliable Method for Acquiring Similarity Matrix</w:t>
          </w:r>
        </w:sdtContent>
      </w:sdt>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CF25E4">
        <w:fldChar w:fldCharType="begin"/>
      </w:r>
      <w:r w:rsidR="00CF25E4">
        <w:instrText xml:space="preserve"> ADDIN ZOTERO_ITEM CSL_CITATION {"citationID":"a18073j845o","properties":{"formattedCitation":"(Giordano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CF25E4">
        <w:fldChar w:fldCharType="separate"/>
      </w:r>
      <w:r w:rsidR="00CF25E4" w:rsidRPr="00CF25E4">
        <w:rPr>
          <w:rFonts w:ascii="Times New Roman" w:hAnsi="Times New Roman" w:cs="Times New Roman"/>
        </w:rPr>
        <w:t>(Giordano et al., 2011)</w:t>
      </w:r>
      <w:r w:rsidR="00CF25E4">
        <w:fldChar w:fldCharType="end"/>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NoSpacing"/>
            </w:pPr>
          </w:p>
        </w:tc>
        <w:tc>
          <w:tcPr>
            <w:tcW w:w="8754" w:type="dxa"/>
          </w:tcPr>
          <w:p w:rsidR="005B2892" w:rsidRDefault="004B0DCB" w:rsidP="00484563">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Caption"/>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r w:rsidR="003B2B6F">
        <w:rPr>
          <w:rFonts w:cstheme="minorHAnsi"/>
        </w:rPr>
        <w:t xml:space="preserve"> </w:t>
      </w:r>
      <w:r w:rsidR="003B2B6F">
        <w:rPr>
          <w:rFonts w:cstheme="minorHAnsi"/>
        </w:rPr>
        <w:fldChar w:fldCharType="begin"/>
      </w:r>
      <w:r w:rsidR="003B2B6F">
        <w:rPr>
          <w:rFonts w:cstheme="minorHAnsi"/>
        </w:rPr>
        <w:instrText xml:space="preserve"> ADDIN ZOTERO_ITEM CSL_CITATION {"citationID":"aqt5dqs2t3","properties":{"formattedCitation":"(Giordano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3B2B6F">
        <w:rPr>
          <w:rFonts w:cstheme="minorHAnsi"/>
        </w:rPr>
        <w:fldChar w:fldCharType="separate"/>
      </w:r>
      <w:r w:rsidR="003B2B6F" w:rsidRPr="003B2B6F">
        <w:rPr>
          <w:rFonts w:ascii="Times New Roman" w:hAnsi="Times New Roman" w:cs="Times New Roman"/>
        </w:rPr>
        <w:t>(Giordano et al., 2011)</w:t>
      </w:r>
      <w:r w:rsidR="003B2B6F">
        <w:rPr>
          <w:rFonts w:cstheme="minorHAnsi"/>
        </w:rPr>
        <w:fldChar w:fldCharType="end"/>
      </w:r>
      <w:r w:rsidR="005836FD">
        <w:rPr>
          <w:rFonts w:cstheme="minorHAnsi"/>
        </w:rPr>
        <w:t>.</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Heading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00C73" w:rsidRPr="00C00C73">
        <w:t>1</w:t>
      </w:r>
      <w:r w:rsidR="00C802EE" w:rsidRPr="00600D45">
        <w:fldChar w:fldCharType="end"/>
      </w:r>
      <w:r w:rsidR="00C802EE">
        <w:t xml:space="preserve"> shows the procedure of</w:t>
      </w:r>
      <w:r w:rsidR="0017640D">
        <w:t xml:space="preserve"> a trial in</w:t>
      </w:r>
      <w:r w:rsidR="00C802EE">
        <w:t xml:space="preserve"> the </w:t>
      </w:r>
      <w:r w:rsidR="00C802EE">
        <w:lastRenderedPageBreak/>
        <w:t xml:space="preserve">Multi-Items Rearrangement task. </w:t>
      </w:r>
      <w:r w:rsidR="00D7374C">
        <w:t xml:space="preserve">Because the Multi-Items Rearrangement task presents multiple 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NoSpacing"/>
            </w:pPr>
          </w:p>
        </w:tc>
        <w:tc>
          <w:tcPr>
            <w:tcW w:w="8754" w:type="dxa"/>
          </w:tcPr>
          <w:p w:rsidR="00DD4009" w:rsidRPr="00A42F01" w:rsidRDefault="004B0DCB" w:rsidP="00427625">
            <w:pPr>
              <w:pStyle w:val="NoSpacing"/>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2m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Caption"/>
              <w:jc w:val="right"/>
              <w:rPr>
                <w:i w:val="0"/>
                <w:sz w:val="24"/>
                <w:szCs w:val="24"/>
              </w:rPr>
            </w:pPr>
          </w:p>
        </w:tc>
      </w:tr>
    </w:tbl>
    <w:p w:rsidR="00AE2E7D" w:rsidRDefault="00003BD9" w:rsidP="00AE2E7D">
      <w:pPr>
        <w:pStyle w:val="NoSpacing"/>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w:t>
      </w:r>
      <w:r w:rsidR="007F4133">
        <w:rPr>
          <w:rFonts w:eastAsia="MS Gothic"/>
        </w:rPr>
        <w:t xml:space="preserve">a pair of </w:t>
      </w:r>
      <w:r w:rsidR="006610EF">
        <w:rPr>
          <w:rFonts w:eastAsia="MS Gothic"/>
        </w:rPr>
        <w:t xml:space="preserve">items </w:t>
      </w:r>
      <w:r w:rsidR="007F4133">
        <w:rPr>
          <w:rFonts w:eastAsia="MS Gothic"/>
        </w:rPr>
        <w:t>is reported thro</w:t>
      </w:r>
      <w:r w:rsidR="007E3D3D">
        <w:rPr>
          <w:rFonts w:eastAsia="MS Gothic"/>
        </w:rPr>
        <w:t xml:space="preserve">ugh the distance between items, and the distance is a much finer scale </w:t>
      </w:r>
      <w:r w:rsidR="001530C0">
        <w:rPr>
          <w:rFonts w:eastAsia="MS Gothic"/>
        </w:rPr>
        <w:t xml:space="preserve">comparing to the 9-point scale and is only limited 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AB1C8A">
        <w:rPr>
          <w:rFonts w:eastAsia="MS Gothic"/>
        </w:rPr>
        <w:t>.</w:t>
      </w:r>
    </w:p>
    <w:p w:rsidR="0030590D" w:rsidRDefault="0079244E" w:rsidP="00402788">
      <w:pPr>
        <w:rPr>
          <w:rFonts w:eastAsia="MS Gothic"/>
        </w:rPr>
      </w:pPr>
      <w:r>
        <w:rPr>
          <w:rFonts w:eastAsia="MS Gothic"/>
        </w:rPr>
        <w:lastRenderedPageBreak/>
        <w:t>Another advantage of the Multi-Items Rearrangement task over the Paired-Comparison task is that the Multi-Items Rearrangement task</w:t>
      </w:r>
      <w:r w:rsidR="009427D4">
        <w:rPr>
          <w:rFonts w:eastAsia="MS Gothic"/>
        </w:rPr>
        <w:t xml:space="preserve"> </w:t>
      </w:r>
      <w:r w:rsidR="00407649">
        <w:rPr>
          <w:rFonts w:eastAsia="MS Gothic"/>
        </w:rPr>
        <w:t xml:space="preserve">is affect less by </w:t>
      </w:r>
      <w:proofErr w:type="spellStart"/>
      <w:r w:rsidR="00407649">
        <w:rPr>
          <w:rFonts w:eastAsia="MS Gothic"/>
        </w:rPr>
        <w:t>diagnosticity</w:t>
      </w:r>
      <w:proofErr w:type="spellEnd"/>
      <w:r w:rsidR="00407649">
        <w:rPr>
          <w:rFonts w:eastAsia="MS Gothic"/>
        </w:rPr>
        <w:t xml:space="preserve"> effect</w:t>
      </w:r>
      <w:r w:rsidR="002B1D59">
        <w:rPr>
          <w:rFonts w:eastAsia="MS Gothic"/>
        </w:rPr>
        <w:t xml:space="preserve"> {</w:t>
      </w:r>
      <w:proofErr w:type="spellStart"/>
      <w:r w:rsidR="002B1D59" w:rsidRPr="0021196F">
        <w:rPr>
          <w:rFonts w:eastAsia="MS Gothic"/>
          <w:highlight w:val="yellow"/>
        </w:rPr>
        <w:t>Tversky</w:t>
      </w:r>
      <w:proofErr w:type="spellEnd"/>
      <w:r w:rsidR="002B1D59" w:rsidRPr="0021196F">
        <w:rPr>
          <w:rFonts w:eastAsia="MS Gothic"/>
          <w:highlight w:val="yellow"/>
        </w:rPr>
        <w:t xml:space="preserve"> 1977</w:t>
      </w:r>
      <w:r w:rsidR="002B1D59">
        <w:rPr>
          <w:rFonts w:eastAsia="MS Gothic"/>
        </w:rPr>
        <w:t>}</w:t>
      </w:r>
      <w:r w:rsidR="009427D4">
        <w:rPr>
          <w:rFonts w:eastAsia="MS Gothic"/>
        </w:rPr>
        <w:t xml:space="preserve"> </w:t>
      </w:r>
      <w:r>
        <w:rPr>
          <w:rFonts w:eastAsia="MS Gothic"/>
        </w:rPr>
        <w:t>by presenting multiple items</w:t>
      </w:r>
      <w:r w:rsidR="00324137">
        <w:rPr>
          <w:rFonts w:eastAsia="MS Gothic"/>
        </w:rPr>
        <w:t xml:space="preserve"> at once</w:t>
      </w:r>
      <w:r>
        <w:rPr>
          <w:rFonts w:eastAsia="MS Gothic"/>
        </w:rPr>
        <w:t xml:space="preserve">. </w:t>
      </w:r>
      <w:r w:rsidR="00240FA2">
        <w:rPr>
          <w:rFonts w:eastAsia="MS Gothic"/>
        </w:rPr>
        <w:t>Previous studies fou</w:t>
      </w:r>
      <w:bookmarkStart w:id="0" w:name="_GoBack"/>
      <w:bookmarkEnd w:id="0"/>
      <w:r w:rsidR="00240FA2">
        <w:rPr>
          <w:rFonts w:eastAsia="MS Gothic"/>
        </w:rPr>
        <w:t xml:space="preserve">nd that </w:t>
      </w:r>
      <w:r w:rsidR="00080CF5">
        <w:rPr>
          <w:rFonts w:eastAsia="MS Gothic"/>
        </w:rPr>
        <w:t xml:space="preserve">the item set affects the </w:t>
      </w:r>
      <w:r w:rsidR="00FF6D7E">
        <w:rPr>
          <w:rFonts w:eastAsia="MS Gothic"/>
        </w:rPr>
        <w:t xml:space="preserve">perception of the items, which then affects the similarity rating </w:t>
      </w:r>
      <w:r w:rsidR="00FF6D7E">
        <w:rPr>
          <w:rFonts w:eastAsia="MS Gothic"/>
        </w:rPr>
        <w:fldChar w:fldCharType="begin"/>
      </w:r>
      <w:r w:rsidR="00FF6D7E">
        <w:rPr>
          <w:rFonts w:eastAsia="MS Gothic"/>
        </w:rPr>
        <w:instrText xml:space="preserve"> ADDIN ZOTERO_ITEM CSL_CITATION {"citationID":"ald201lmpd","properties":{"formattedCitation":"(Goldstone, 1995)","plainCitation":"(Goldstone, 1995)"},"citationItems":[{"id":704,"uris":["http://zotero.org/users/1327751/items/3Z9KTKFK"],"uri":["http://zotero.org/users/1327751/items/3Z9KTKFK"],"itemData":{"id":704,"type":"article-journal","title":"Effects of categorization on color perception","container-title":"Psychological Science","page":"298–304","volume":"6","issue":"5","source":"Google Scholar","author":[{"family":"Goldstone","given":"Robert L."}],"issued":{"date-parts":[["1995"]]}}}],"schema":"https://github.com/citation-style-language/schema/raw/master/csl-citation.json"} </w:instrText>
      </w:r>
      <w:r w:rsidR="00FF6D7E">
        <w:rPr>
          <w:rFonts w:eastAsia="MS Gothic"/>
        </w:rPr>
        <w:fldChar w:fldCharType="separate"/>
      </w:r>
      <w:r w:rsidR="00FF6D7E" w:rsidRPr="00FF6D7E">
        <w:rPr>
          <w:rFonts w:ascii="Times New Roman" w:hAnsi="Times New Roman" w:cs="Times New Roman"/>
        </w:rPr>
        <w:t>(Goldstone, 1995)</w:t>
      </w:r>
      <w:r w:rsidR="00FF6D7E">
        <w:rPr>
          <w:rFonts w:eastAsia="MS Gothic"/>
        </w:rPr>
        <w:fldChar w:fldCharType="end"/>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hence more items are introduced at once, which </w:t>
      </w:r>
      <w:r w:rsidR="00781CCA">
        <w:rPr>
          <w:rFonts w:eastAsia="MS Gothic"/>
        </w:rPr>
        <w:t xml:space="preserve">reduced the effect of </w:t>
      </w:r>
      <w:r w:rsidR="00C46129">
        <w:rPr>
          <w:rFonts w:eastAsia="MS Gothic"/>
        </w:rPr>
        <w:t>from the item set</w:t>
      </w:r>
      <w:r w:rsidR="00781CCA">
        <w:rPr>
          <w:rFonts w:eastAsia="MS Gothic"/>
        </w:rPr>
        <w:t>.</w:t>
      </w:r>
    </w:p>
    <w:p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w:t>
      </w:r>
      <w:r w:rsidR="00D6377F">
        <w:rPr>
          <w:rFonts w:eastAsia="MS Gothic"/>
        </w:rPr>
        <w:fldChar w:fldCharType="begin"/>
      </w:r>
      <w:r w:rsidR="00D6377F">
        <w:rPr>
          <w:rFonts w:eastAsia="MS Gothic"/>
        </w:rPr>
        <w:instrText xml:space="preserve"> ADDIN ZOTERO_ITEM CSL_CITATION {"citationID":"a1tjslgs5ja","properties":{"formattedCitation":"(Allen, Baddeley, &amp; Hitch, 2014; Luck &amp; Vogel, 1997)","plainCitation":"(Allen, Baddeley, &amp; Hitch, 2014; Luck &amp; Vogel, 1997)"},"citationItems":[{"id":165,"uris":["http://zotero.org/users/1327751/items/QFPANXP3"],"uri":["http://zotero.org/users/1327751/items/QFPANXP3"],"itemData":{"id":165,"type":"article-journal","title":"Evidence for two attentional components in visual working memory","container-title":"Journal of Experimental Psychology: Learning, Memory, and Cognition","page":"1499-1509","volume":"40","issue":"6","source":"EBSCOhost","abstract":"How does executive attentional control contribute to memory for sequences of visual objects, and what does this reveal about storage and processing in working memory? Three experiments examined the impact of a concurrent executive load (backward counting) on memory for sequences of individually presented visual objects. Experiments 1 and 2 found disruptive concurrent load effects of equivalent magnitude on memory for shapes, colors, and colored shape conjunctions (as measured by single-probe recognition). These effects were present only for Items 1 and 2 in a 3-item sequence; the final item was always impervious to this disruption. This pattern of findings was precisely replicated in Experiment 3 when using a cued verbal recall measure of shape–color binding, with error analysis providing additional insights concerning attention-related loss of early-sequence items. These findings indicate an important role for executive processes in maintaining representations of earlier encountered stimuli in an active form alongside privileged storage of the most recent stimulus. (PsycINFO Database Record (c) 2014 APA, all rights reserved). (journal abstract)","DOI":"10.1037/xlm0000002","ISSN":"0278-7393","journalAbbreviation":"Journal of Experimental Psychology: Learning, Memory, and Cognition","author":[{"family":"Allen","given":"Richard J."},{"family":"Baddeley","given":"Alan D."},{"family":"Hitch","given":"Graham J."}],"issued":{"date-parts":[["2014",11]]}}},{"id":201,"uris":["http://zotero.org/users/1327751/items/WABMBZWJ"],"uri":["http://zotero.org/users/1327751/items/WABMBZWJ"],"itemData":{"id":201,"type":"article-journal","title":"The capacity of visual working memory for features and conjunctions","container-title":"Nature","page":"279-281","volume":"390","issue":"6657","source":"www.nature.com","abstract":"Short-term memory storage can be divided into separate subsystems for verbal information and visual information, and recent studies have begun to delineate the neural substrates of these working-memory systems. Although the verbal storage system has been well characterized, the storage capacity of visual working memory has not yet been established for simple, suprathreshold features or for conjunctions of features. Here we demonstrate that it is possible to retain information about only four colours or orientations in visual working memory at one time. However, it is also possible to retain both the colour and the orientation of four objects, indicating that visual working memory stores integrated objects rather than individual features. Indeed, objects defined by a conjunction of four features can be retained in working memory just as well as single-feature objects, allowing sixteen individual features to be retained when distributed across four objects. Thus, the capacity of visual working memory must be understood in terms of integrated objects rather than individual features, which places significant constraints on cognitive and neurobiological models of the temporary storage of visual information.","DOI":"10.1038/36846","ISSN":"0028-0836","journalAbbreviation":"Nature","language":"en","author":[{"family":"Luck","given":"Steven J."},{"family":"Vogel","given":"Edward K."}],"issued":{"date-parts":[["1997",11,20]]}}}],"schema":"https://github.com/citation-style-language/schema/raw/master/csl-citation.json"} </w:instrText>
      </w:r>
      <w:r w:rsidR="00D6377F">
        <w:rPr>
          <w:rFonts w:eastAsia="MS Gothic"/>
        </w:rPr>
        <w:fldChar w:fldCharType="separate"/>
      </w:r>
      <w:r w:rsidR="00D6377F" w:rsidRPr="00D6377F">
        <w:rPr>
          <w:rFonts w:ascii="Times New Roman" w:hAnsi="Times New Roman" w:cs="Times New Roman"/>
        </w:rPr>
        <w:t>(Allen, Baddeley, &amp; Hitch, 2014; Luck &amp; Vogel, 1997)</w:t>
      </w:r>
      <w:r w:rsidR="00D6377F">
        <w:rPr>
          <w:rFonts w:eastAsia="MS Gothic"/>
        </w:rPr>
        <w:fldChar w:fldCharType="end"/>
      </w:r>
      <w:r w:rsidR="004B0D49">
        <w:rPr>
          <w:rFonts w:eastAsia="MS Gothic"/>
        </w:rPr>
        <w:t>.</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rsidR="00BE4189" w:rsidRDefault="00EB1CAE" w:rsidP="00EB1CAE">
      <w:pPr>
        <w:pStyle w:val="Heading1"/>
      </w:pPr>
      <w:r>
        <w:t>Experiment 1</w:t>
      </w:r>
    </w:p>
    <w:p w:rsidR="000A4E5B" w:rsidRPr="000A4E5B" w:rsidRDefault="000A4E5B" w:rsidP="000A4E5B">
      <w:r>
        <w:t xml:space="preserve">In the Experiment 1, we </w:t>
      </w:r>
      <w:r w:rsidR="00037619">
        <w:t>examined</w:t>
      </w:r>
      <w:r>
        <w:t xml:space="preserve"> the reliability</w:t>
      </w:r>
      <w:r w:rsidR="00833FB4">
        <w:t xml:space="preserve"> and the 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rsidR="00EB1CAE" w:rsidRDefault="00EB1CAE" w:rsidP="00EB1CAE">
      <w:pPr>
        <w:pStyle w:val="Heading2"/>
      </w:pPr>
      <w:r>
        <w:lastRenderedPageBreak/>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C00C73" w:rsidRPr="00C00C73">
        <w:t>2</w:t>
      </w:r>
      <w:r w:rsidR="001943BC" w:rsidRPr="001943BC">
        <w:fldChar w:fldCharType="end"/>
      </w:r>
      <w:r w:rsidR="000218E5">
        <w:t>.</w:t>
      </w:r>
    </w:p>
    <w:p w:rsidR="009E53F2" w:rsidRDefault="009E53F2" w:rsidP="00454E84">
      <w:r w:rsidRPr="009735AB">
        <w:rPr>
          <w:rStyle w:val="Heading3Char"/>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lastRenderedPageBreak/>
        <w:t xml:space="preserve">The Multi-Items Rearrangement task requires 6 trials to complete the similarity matrix between 16 items. We repeated the procedure twice in order to obtain more accuracy measurement of the similarity matrix. The items were rearranged into different </w:t>
      </w:r>
      <w:r w:rsidR="003B7DC3">
        <w:t>subset</w:t>
      </w:r>
      <w:r>
        <w:t xml:space="preserve">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r w:rsidR="00F12E0F">
        <w:t xml:space="preserve"> There were 10 breaks evenly in the Paired-Comparison task session, </w:t>
      </w:r>
      <w:r w:rsidR="00A17F2F">
        <w:t>participants were encourage</w:t>
      </w:r>
      <w:r w:rsidR="001A0FC3">
        <w:t>d</w:t>
      </w:r>
      <w:r w:rsidR="00A17F2F">
        <w:t xml:space="preserve"> to take as long as they want in the break.</w:t>
      </w:r>
      <w:r w:rsidR="000D1B7B">
        <w:t xml:space="preserve"> Participants were instructed to press the space bar to continue the task after they finished the break.</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 xml:space="preserve">The normalization ensures that the similarity matrix acquired from </w:t>
      </w:r>
      <w:r w:rsidR="00FE2A17">
        <w:rPr>
          <w:rFonts w:eastAsia="MS Mincho"/>
        </w:rPr>
        <w:lastRenderedPageBreak/>
        <w:t>the Multi-Items Rearrangement task and the similarity matrix acquired from the Paired-Comparison</w:t>
      </w:r>
      <w:r w:rsidR="00E12B07">
        <w:rPr>
          <w:rFonts w:eastAsia="MS Mincho"/>
        </w:rPr>
        <w:t xml:space="preserve"> task are under the same scale.</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C00C73">
        <w:t>1</w:t>
      </w:r>
      <w:r w:rsidR="00B1674D" w:rsidRPr="00B1674D">
        <w:fldChar w:fldCharType="end"/>
      </w:r>
      <w:r w:rsidR="00ED168F" w:rsidRPr="00B1674D">
        <w:t>.</w:t>
      </w:r>
      <w:r w:rsidR="006F03A8">
        <w:t xml:space="preserve"> The lowest reliability is 0.71 from the Multi-Items Rearrangement task</w:t>
      </w:r>
      <w:r w:rsidR="00DE64D9">
        <w:t>, and the lowest reliability of the Paired-Comparison task is 0.78</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C00C73">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C00C73" w:rsidRPr="00C00C73">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w:t>
      </w:r>
      <w:r w:rsidR="00350680">
        <w:t>, and the break time was excluded.</w:t>
      </w:r>
      <w:r w:rsidR="00663DD1">
        <w:t xml:space="preserv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723345">
        <w:t>W</w:t>
      </w:r>
      <w:r w:rsidR="00F1382E">
        <w:t xml:space="preserve">e </w:t>
      </w:r>
      <w:r w:rsidR="00723345">
        <w:t>examined</w:t>
      </w:r>
      <w:r w:rsidR="00F1382E">
        <w:t xml:space="preserve"> the </w:t>
      </w:r>
      <w:r w:rsidR="00723345">
        <w:t>reliability and the validity</w:t>
      </w:r>
      <w:r w:rsidR="00F1382E">
        <w:t xml:space="preserve"> of </w:t>
      </w:r>
      <w:r w:rsidR="002A435A">
        <w:t>acquiring</w:t>
      </w:r>
      <w:r w:rsidR="00F1382E">
        <w:t xml:space="preserve"> the similarity matrix</w:t>
      </w:r>
      <w:r w:rsidR="00AF2E1A">
        <w:t xml:space="preserve"> from</w:t>
      </w:r>
      <w:r w:rsidR="00F1382E">
        <w:t xml:space="preserve"> </w:t>
      </w:r>
      <w:r w:rsidR="00F1382E">
        <w:lastRenderedPageBreak/>
        <w:t>continuous feature</w:t>
      </w:r>
      <w:r w:rsidR="001A76C1">
        <w:t xml:space="preserve"> of Multi-Items Rearrangement task</w:t>
      </w:r>
      <w:r w:rsidR="009B2271">
        <w:t>.</w:t>
      </w:r>
      <w:r w:rsidR="002A435A">
        <w:t xml:space="preserve"> Thus, in Experiment 2, color patches were used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r w:rsidR="00632ACF">
        <w:t xml:space="preserve"> previously</w:t>
      </w:r>
      <w:r w:rsidR="001C2D1B">
        <w:t>.</w:t>
      </w:r>
    </w:p>
    <w:p w:rsidR="00640194" w:rsidRDefault="00640194" w:rsidP="00640194">
      <w:r w:rsidRPr="00F4465A">
        <w:rPr>
          <w:rStyle w:val="Heading3Char"/>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w:t>
      </w:r>
      <w:r w:rsidR="00DD16A0">
        <w:t xml:space="preserve"> on the color wheel</w:t>
      </w:r>
      <w:r w:rsidR="00516957">
        <w:t xml:space="preserve">.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C00C73" w:rsidRPr="00C00C73">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C00C73">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C00C73">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w:t>
      </w:r>
      <w:r w:rsidR="0038127A">
        <w:lastRenderedPageBreak/>
        <w:t>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C00C73">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C00C73" w:rsidRPr="00C00C73">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w:t>
      </w:r>
      <w:r w:rsidR="00311125">
        <w:t xml:space="preserve"> excluding the break time</w:t>
      </w:r>
      <w:r>
        <w:t xml:space="preserve">. </w:t>
      </w:r>
      <w:r w:rsidR="00E85523">
        <w:t xml:space="preserve">The time required to complete both tasks were compared with </w:t>
      </w:r>
      <w:proofErr w:type="spellStart"/>
      <w:r w:rsidR="00E85523">
        <w:t>BayesFactor</w:t>
      </w:r>
      <w:proofErr w:type="spellEnd"/>
      <w:r w:rsidR="00E85523">
        <w:t xml:space="preserve">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7A6D29" w:rsidP="007A6D29">
      <w:pPr>
        <w:pStyle w:val="Heading1"/>
      </w:pPr>
      <w:r>
        <w:t>Conclusion</w:t>
      </w:r>
    </w:p>
    <w:p w:rsidR="00E96960" w:rsidRDefault="00E96960" w:rsidP="004F4BB9">
      <w:r>
        <w:rPr>
          <w:rFonts w:hint="eastAsia"/>
        </w:rPr>
        <w:t xml:space="preserve">The experiments results shown that the Multi-Items Rearrangement task is on per with the Paired-Comparison task in the regard of the reliability. </w:t>
      </w:r>
      <w:r w:rsidR="00C1100B">
        <w:t>The worst reliability in both experiments is 0.70 from</w:t>
      </w:r>
      <w:r w:rsidR="00F67A34">
        <w:t xml:space="preserve"> the</w:t>
      </w:r>
      <w:r w:rsidR="00C1100B">
        <w:t xml:space="preserve"> Paired-Comparison task in Experiment 2 and is followed by 0.71 from</w:t>
      </w:r>
      <w:r w:rsidR="00F67A34">
        <w:t xml:space="preserve"> the</w:t>
      </w:r>
      <w:r w:rsidR="00C1100B">
        <w:t xml:space="preserve"> Multi-Items Rear</w:t>
      </w:r>
      <w:r w:rsidR="0079077A">
        <w:t>rangement task in Exp</w:t>
      </w:r>
      <w:r w:rsidR="002812CD">
        <w:t xml:space="preserve">eriment 1. </w:t>
      </w:r>
      <w:r w:rsidR="00F67A34">
        <w:t>Even in the worst case, the reliabilities from both tasks are h</w:t>
      </w:r>
      <w:r w:rsidR="00E70204">
        <w:t>ighly reliable, hence</w:t>
      </w:r>
      <w:r w:rsidR="0023302C">
        <w:t>,</w:t>
      </w:r>
      <w:r w:rsidR="00E70204">
        <w:t xml:space="preserve"> we conclude</w:t>
      </w:r>
      <w:r w:rsidR="00CE0C49">
        <w:t>d</w:t>
      </w:r>
      <w:r w:rsidR="00E70204">
        <w:t xml:space="preserve"> there is no reliability issue in the Multi-Items Rearrangement task.</w:t>
      </w:r>
    </w:p>
    <w:p w:rsidR="00AF19E6" w:rsidRDefault="00AF19E6" w:rsidP="004F4BB9">
      <w:r>
        <w:t xml:space="preserve">The worst validity </w:t>
      </w:r>
      <w:r w:rsidR="000F371A">
        <w:t>from both experim</w:t>
      </w:r>
      <w:r w:rsidR="00627BD0">
        <w:t xml:space="preserve">ents is 0.77 from Experiment 2, which is from the participant with low reliability from the Paired-Comparison task. </w:t>
      </w:r>
      <w:r w:rsidR="003413AB">
        <w:t>Because the validity is calculated with the correlation between the average similarity</w:t>
      </w:r>
      <w:r w:rsidR="003A1590">
        <w:t xml:space="preserve"> matrices</w:t>
      </w:r>
      <w:r w:rsidR="003413AB">
        <w:t xml:space="preserve"> of both tasks. </w:t>
      </w:r>
      <w:r w:rsidR="003A1590">
        <w:t xml:space="preserve">Lower reliability of one task introduced more noise in the average similarity </w:t>
      </w:r>
      <w:r w:rsidR="00953EA3">
        <w:t>matrix, which lower</w:t>
      </w:r>
      <w:r w:rsidR="00787150">
        <w:t>s</w:t>
      </w:r>
      <w:r w:rsidR="00953EA3">
        <w:t xml:space="preserve"> the validity. </w:t>
      </w:r>
      <w:r w:rsidR="008003E9">
        <w:t>However, the Multi-Items Rearrangement task is highly reliable even without considering the reduc</w:t>
      </w:r>
      <w:r w:rsidR="00160D04">
        <w:t>tion</w:t>
      </w:r>
      <w:r w:rsidR="008003E9">
        <w:t xml:space="preserve"> of the validity from the low reliability of the Paired-Comparison task. </w:t>
      </w:r>
      <w:r w:rsidR="008A418E">
        <w:t xml:space="preserve">The result from </w:t>
      </w:r>
      <w:r w:rsidR="008A418E">
        <w:lastRenderedPageBreak/>
        <w:t>Multidimensional Scaling also shown that both tasks acquired almost identical similarity matrices.</w:t>
      </w:r>
      <w:r w:rsidR="00CE0C49">
        <w:t xml:space="preserve"> W</w:t>
      </w:r>
      <w:r w:rsidR="00DB673B">
        <w:t>e conclude</w:t>
      </w:r>
      <w:r w:rsidR="00CE0C49">
        <w:t>d</w:t>
      </w:r>
      <w:r w:rsidR="00DB673B">
        <w:t xml:space="preserve"> that there is no validity issue in the Multi-Items Rearrangement task.</w:t>
      </w:r>
    </w:p>
    <w:p w:rsidR="001318F1" w:rsidRPr="00331A40" w:rsidRDefault="00331A40" w:rsidP="004F4BB9">
      <w:pPr>
        <w:rPr>
          <w:rFonts w:eastAsia="MS Gothic"/>
        </w:rPr>
      </w:pPr>
      <w:r>
        <w:rPr>
          <w:rFonts w:eastAsia="MS Gothic" w:hint="eastAsia"/>
        </w:rPr>
        <w:t xml:space="preserve">The Multi-Items Rearrangement task </w:t>
      </w:r>
      <w:r w:rsidR="00550D58">
        <w:rPr>
          <w:rFonts w:eastAsia="MS Gothic"/>
        </w:rPr>
        <w:t>took</w:t>
      </w:r>
      <w:r w:rsidR="00BE3703">
        <w:rPr>
          <w:rFonts w:eastAsia="MS Gothic"/>
        </w:rPr>
        <w:t xml:space="preserve"> almost</w:t>
      </w:r>
      <w:r w:rsidR="00550D58">
        <w:rPr>
          <w:rFonts w:eastAsia="MS Gothic"/>
        </w:rPr>
        <w:t xml:space="preserve"> half of the time for participants to complete comparing to the time for the Pair</w:t>
      </w:r>
      <w:r w:rsidR="001A2E51">
        <w:rPr>
          <w:rFonts w:eastAsia="MS Gothic"/>
        </w:rPr>
        <w:t xml:space="preserve">ed-Comparison task. </w:t>
      </w:r>
      <w:r w:rsidR="00560941">
        <w:rPr>
          <w:rFonts w:eastAsia="MS Gothic"/>
        </w:rPr>
        <w:t>Although the Multi-Items Rearrangement task took much longer time to complete a trial (39.64s</w:t>
      </w:r>
      <w:r w:rsidR="00F86B6B">
        <w:rPr>
          <w:rFonts w:eastAsia="MS Gothic"/>
        </w:rPr>
        <w:t xml:space="preserve"> vs. 3.77s</w:t>
      </w:r>
      <w:r w:rsidR="00962198">
        <w:rPr>
          <w:rFonts w:eastAsia="MS Gothic"/>
        </w:rPr>
        <w:t xml:space="preserve"> in Experiment 1, 28.19s vs. 2.98s</w:t>
      </w:r>
      <w:r w:rsidR="00997C09">
        <w:rPr>
          <w:rFonts w:eastAsia="MS Gothic"/>
        </w:rPr>
        <w:t xml:space="preserve"> in Experiment 2</w:t>
      </w:r>
      <w:r w:rsidR="00560941">
        <w:rPr>
          <w:rFonts w:eastAsia="MS Gothic"/>
        </w:rPr>
        <w:t xml:space="preserve">), </w:t>
      </w:r>
      <w:r w:rsidR="006E112F">
        <w:rPr>
          <w:rFonts w:eastAsia="MS Gothic"/>
        </w:rPr>
        <w:t xml:space="preserve">the Multi-Items Rearrangement task </w:t>
      </w:r>
      <w:r w:rsidR="00D00FE9">
        <w:rPr>
          <w:rFonts w:eastAsia="MS Gothic"/>
        </w:rPr>
        <w:t>requires less trials (16 vs. 240), results in shorter time to complete the task.</w:t>
      </w:r>
    </w:p>
    <w:p w:rsidR="000A6AA5" w:rsidRDefault="000A6AA5" w:rsidP="000A6AA5">
      <w:pPr>
        <w:pStyle w:val="Heading1"/>
        <w:rPr>
          <w:rFonts w:eastAsia="MS Gothic"/>
        </w:rPr>
      </w:pPr>
      <w:r>
        <w:rPr>
          <w:rFonts w:eastAsia="MS Gothic" w:hint="eastAsia"/>
        </w:rPr>
        <w:t>General Discussion</w:t>
      </w:r>
    </w:p>
    <w:p w:rsidR="00A9358E" w:rsidRDefault="003D5E81" w:rsidP="00A9358E">
      <w:r>
        <w:rPr>
          <w:rFonts w:eastAsia="MS Gothic" w:hint="eastAsia"/>
        </w:rPr>
        <w:t xml:space="preserve">In this study, we introduced a new task for acquiring similarity matrix </w:t>
      </w:r>
      <w:r w:rsidRPr="00DB2A41">
        <w:rPr>
          <w:rFonts w:cstheme="minorHAnsi"/>
        </w:rPr>
        <w:t>—</w:t>
      </w:r>
      <w:r w:rsidRPr="00DB2A41">
        <w:rPr>
          <w:rFonts w:hint="eastAsia"/>
        </w:rPr>
        <w:t xml:space="preserve"> </w:t>
      </w:r>
      <w:r w:rsidR="00D857F8">
        <w:t xml:space="preserve">the </w:t>
      </w:r>
      <w:r w:rsidR="00DB2A41">
        <w:t xml:space="preserve">Multi-Items Rearrangement task </w:t>
      </w:r>
      <w:r w:rsidR="00DB2A41" w:rsidRPr="00DB2A41">
        <w:rPr>
          <w:rFonts w:cstheme="minorHAnsi"/>
        </w:rPr>
        <w:t>—</w:t>
      </w:r>
      <w:r w:rsidR="00DB2A41">
        <w:rPr>
          <w:rFonts w:cstheme="minorHAnsi"/>
        </w:rPr>
        <w:t xml:space="preserve"> </w:t>
      </w:r>
      <w:r w:rsidR="00B939E6">
        <w:rPr>
          <w:rFonts w:cstheme="minorHAnsi"/>
        </w:rPr>
        <w:t>and two experiments to examine the</w:t>
      </w:r>
      <w:r w:rsidR="0072153E">
        <w:rPr>
          <w:rFonts w:cstheme="minorHAnsi"/>
        </w:rPr>
        <w:t xml:space="preserve"> reliability</w:t>
      </w:r>
      <w:r w:rsidR="001318F1">
        <w:rPr>
          <w:rFonts w:cstheme="minorHAnsi"/>
        </w:rPr>
        <w:t xml:space="preserve">, </w:t>
      </w:r>
      <w:r w:rsidR="00B939E6">
        <w:rPr>
          <w:rFonts w:cstheme="minorHAnsi"/>
        </w:rPr>
        <w:t>the</w:t>
      </w:r>
      <w:r w:rsidR="0072153E">
        <w:rPr>
          <w:rFonts w:cstheme="minorHAnsi"/>
        </w:rPr>
        <w:t xml:space="preserve"> validity</w:t>
      </w:r>
      <w:r w:rsidR="001318F1">
        <w:rPr>
          <w:rFonts w:cstheme="minorHAnsi"/>
        </w:rPr>
        <w:t>, and the time efficiency</w:t>
      </w:r>
      <w:r w:rsidR="00B939E6">
        <w:rPr>
          <w:rFonts w:cstheme="minorHAnsi"/>
        </w:rPr>
        <w:t xml:space="preserve"> of the task. </w:t>
      </w:r>
      <w:r w:rsidR="0072153E">
        <w:rPr>
          <w:rFonts w:cstheme="minorHAnsi"/>
        </w:rPr>
        <w:t xml:space="preserve">The experiments shown that the Multi-Items Rearrangement task </w:t>
      </w:r>
      <w:r w:rsidR="00741795">
        <w:rPr>
          <w:rFonts w:cstheme="minorHAnsi"/>
        </w:rPr>
        <w:t xml:space="preserve">is reliable and validate of acquiring the similarity matric while </w:t>
      </w:r>
      <w:r w:rsidR="00A6101A">
        <w:rPr>
          <w:rFonts w:cstheme="minorHAnsi"/>
        </w:rPr>
        <w:t>taking</w:t>
      </w:r>
      <w:r w:rsidR="00741795">
        <w:rPr>
          <w:rFonts w:cstheme="minorHAnsi"/>
        </w:rPr>
        <w:t xml:space="preserve"> only half of the time required comparing to the Paired-Comparison task.</w:t>
      </w:r>
      <w:r w:rsidR="008A40A4">
        <w:rPr>
          <w:rFonts w:cstheme="minorHAnsi"/>
        </w:rPr>
        <w:t xml:space="preserve"> </w:t>
      </w:r>
      <w:r w:rsidR="00D857F8">
        <w:rPr>
          <w:rFonts w:cstheme="minorHAnsi"/>
        </w:rPr>
        <w:t>The time efficiency</w:t>
      </w:r>
      <w:r w:rsidR="00734F42">
        <w:rPr>
          <w:rFonts w:cstheme="minorHAnsi"/>
        </w:rPr>
        <w:t xml:space="preserve"> of the Multi-Items Rearrangement task</w:t>
      </w:r>
      <w:r w:rsidR="00D857F8">
        <w:rPr>
          <w:rFonts w:cstheme="minorHAnsi"/>
        </w:rPr>
        <w:t xml:space="preserve"> allows the </w:t>
      </w:r>
      <w:r w:rsidR="00734F42">
        <w:t>experimenter to acquire the similarity matrices</w:t>
      </w:r>
      <w:r w:rsidR="006564A6">
        <w:t xml:space="preserve"> for individual participants</w:t>
      </w:r>
      <w:r w:rsidR="00DB15BC">
        <w:t xml:space="preserve"> when previously unfeasible</w:t>
      </w:r>
      <w:r w:rsidR="00F779F8">
        <w:t>, i.e., the item set is too large</w:t>
      </w:r>
      <w:r w:rsidR="006564A6">
        <w:t xml:space="preserve">. </w:t>
      </w:r>
      <w:r w:rsidR="00916F9C">
        <w:t>Some</w:t>
      </w:r>
      <w:r w:rsidR="00320451">
        <w:t xml:space="preserve"> studies acquire incomplete similarity matrices for individual participants then assemble</w:t>
      </w:r>
      <w:r w:rsidR="0035188D">
        <w:t>d</w:t>
      </w:r>
      <w:r w:rsidR="008806D2">
        <w:t xml:space="preserve"> the incomplete similarity matrices</w:t>
      </w:r>
      <w:r w:rsidR="00320451">
        <w:t xml:space="preserve"> into a </w:t>
      </w:r>
      <w:r w:rsidR="008A7968">
        <w:t xml:space="preserve">full </w:t>
      </w:r>
      <w:r w:rsidR="00320451">
        <w:t>similarity matrix</w:t>
      </w:r>
      <w:r w:rsidR="007F0355">
        <w:t xml:space="preserve"> </w:t>
      </w:r>
      <w:r w:rsidR="00020E26">
        <w:fldChar w:fldCharType="begin"/>
      </w:r>
      <w:r w:rsidR="00020E26">
        <w:instrText xml:space="preserve"> ADDIN ZOTERO_ITEM CSL_CITATION {"citationID":"a365mh5nch","properties":{"formattedCitation":"(Boles &amp; Clifford, 1989)","plainCitation":"(Boles &amp; Clifford, 1989)"},"citationItems":[{"id":698,"uris":["http://zotero.org/users/1327751/items/B9B9BZWF"],"uri":["http://zotero.org/users/1327751/items/B9B9BZWF"],"itemData":{"id":698,"type":"article-journal","title":"An upper- and lowercase alphabetic similarity matrix, with derived generation similarity values","container-title":"Behavior Research Methods, Instruments, &amp; Computers","page":"579-586","volume":"21","issue":"6","source":"link.springer.com","abstract":"A full upper- and lowercase visual similarity matrix is presented for a standard set of computer characters, implemented on the Apple-Psych system. The 2,704 (52×52) letter pairs were rated by 12 subjects each. From the ratings, generation and veridical similarity values are derived, and they are tabled for use in research on mixed-case letter matching. In addition, the results of multidimensional scaling and cluster analyses are presented, which give complementary, simplified descriptions of the data.","DOI":"10.3758/BF03210580","ISSN":"0743-3808, 1532-5970","journalAbbreviation":"Behavior Research Methods, Instruments, &amp; Computers","language":"en","author":[{"family":"Boles","given":"David B."},{"family":"Clifford","given":"John E."}],"issued":{"date-parts":[["1989",11,1]]}}}],"schema":"https://github.com/citation-style-language/schema/raw/master/csl-citation.json"} </w:instrText>
      </w:r>
      <w:r w:rsidR="00020E26">
        <w:fldChar w:fldCharType="separate"/>
      </w:r>
      <w:r w:rsidR="00020E26" w:rsidRPr="00020E26">
        <w:rPr>
          <w:rFonts w:ascii="Times New Roman" w:hAnsi="Times New Roman" w:cs="Times New Roman"/>
        </w:rPr>
        <w:t>(Boles &amp; Clifford, 1989)</w:t>
      </w:r>
      <w:r w:rsidR="00020E26">
        <w:fldChar w:fldCharType="end"/>
      </w:r>
      <w:r w:rsidR="007F0355">
        <w:t xml:space="preserve">. </w:t>
      </w:r>
      <w:r w:rsidR="00666BEC">
        <w:t xml:space="preserve">However, the </w:t>
      </w:r>
      <w:r w:rsidR="00180875">
        <w:t>assembled</w:t>
      </w:r>
      <w:r w:rsidR="00666BEC">
        <w:t xml:space="preserve"> similarity matrix does not reflect the individual d</w:t>
      </w:r>
      <w:r w:rsidR="009E4098">
        <w:t>ifference between p</w:t>
      </w:r>
      <w:r w:rsidR="00B2226D">
        <w:t xml:space="preserve">articipants, which might to be appropriate if the </w:t>
      </w:r>
      <w:r w:rsidR="00F02C90">
        <w:t xml:space="preserve">difference of </w:t>
      </w:r>
      <w:r w:rsidR="00B2226D">
        <w:t xml:space="preserve">similarity rating between individual participants is </w:t>
      </w:r>
      <w:r w:rsidR="00D801EE">
        <w:t>l</w:t>
      </w:r>
      <w:r w:rsidR="000F56FA">
        <w:t>ar</w:t>
      </w:r>
      <w:r w:rsidR="00A9358E">
        <w:t>ge.</w:t>
      </w:r>
    </w:p>
    <w:p w:rsidR="00E82DDB" w:rsidRDefault="00E82DDB" w:rsidP="00AD7A7F">
      <w:r>
        <w:t xml:space="preserve">The Multi-Items Rearrangement task does not come without disadvantage. </w:t>
      </w:r>
      <w:r w:rsidR="00BC7CAD">
        <w:t xml:space="preserve">Because the task </w:t>
      </w:r>
      <w:r w:rsidR="00BE5D42">
        <w:t xml:space="preserve">askes participants to </w:t>
      </w:r>
      <w:r w:rsidR="00BC7CAD">
        <w:t>reflect the similarity</w:t>
      </w:r>
      <w:r w:rsidR="00B55C50">
        <w:t xml:space="preserve"> between items</w:t>
      </w:r>
      <w:r w:rsidR="00BC7CAD">
        <w:t xml:space="preserve"> on two </w:t>
      </w:r>
      <w:r w:rsidR="00002CA9">
        <w:t>dimensional</w:t>
      </w:r>
      <w:r w:rsidR="00BC7CAD">
        <w:t xml:space="preserve"> </w:t>
      </w:r>
      <w:r w:rsidR="00ED2C2D">
        <w:t xml:space="preserve">space, </w:t>
      </w:r>
      <w:r w:rsidR="00557FEF">
        <w:t>the measurement might miss some complex relationship between items.</w:t>
      </w:r>
      <w:r w:rsidR="00486535">
        <w:t xml:space="preserve"> For example, if the items set </w:t>
      </w:r>
      <w:r w:rsidR="00053845">
        <w:t>are represented in the higher dimensional space</w:t>
      </w:r>
      <w:r w:rsidR="00F275C3">
        <w:t>,</w:t>
      </w:r>
      <w:r w:rsidR="00486535">
        <w:t xml:space="preserve"> </w:t>
      </w:r>
      <w:r w:rsidR="00F275C3">
        <w:t>t</w:t>
      </w:r>
      <w:r w:rsidR="00153F0E">
        <w:t xml:space="preserve">here must be some distortion when reflecting the </w:t>
      </w:r>
      <w:r w:rsidR="00153F0E">
        <w:lastRenderedPageBreak/>
        <w:t>items on the two dimensional space.</w:t>
      </w:r>
      <w:r w:rsidR="00227D15">
        <w:t xml:space="preserve"> </w:t>
      </w:r>
      <w:r w:rsidR="00366069">
        <w:t xml:space="preserve">Because the distortion derived from reduction the dimensionality, </w:t>
      </w:r>
      <w:r w:rsidR="00352D8D">
        <w:t>lowering</w:t>
      </w:r>
      <w:r w:rsidR="00366069">
        <w:t xml:space="preserve"> the number of items in the trial helps </w:t>
      </w:r>
      <w:r w:rsidR="00352D8D">
        <w:t xml:space="preserve">reducing the </w:t>
      </w:r>
      <w:r w:rsidR="009D09B1">
        <w:t xml:space="preserve">amount of distortion. </w:t>
      </w:r>
      <w:r w:rsidR="004E62F9">
        <w:t xml:space="preserve">The relationship between three items can be perfectly represented on two dimensional space regardless the dimensionality of the representation. </w:t>
      </w:r>
      <w:r w:rsidR="000160B6">
        <w:t xml:space="preserve">However, with four or more items, the relationship between items </w:t>
      </w:r>
      <w:r w:rsidR="0082460D">
        <w:t>cannot</w:t>
      </w:r>
      <w:r w:rsidR="00637AF9">
        <w:t xml:space="preserve"> always</w:t>
      </w:r>
      <w:r w:rsidR="000160B6">
        <w:t xml:space="preserve"> be represented on a two dimensional </w:t>
      </w:r>
      <w:r w:rsidR="00933DAD">
        <w:t>without distortion. For example, it is impossible to reflect the relationship between four items with equal similarity between each other</w:t>
      </w:r>
      <w:r w:rsidR="00821407">
        <w:t xml:space="preserve"> on two dimensional space</w:t>
      </w:r>
      <w:r w:rsidR="008F485E">
        <w:t>, which requires at least three dimensional space</w:t>
      </w:r>
      <w:r w:rsidR="00821407">
        <w:t>.</w:t>
      </w:r>
      <w:r w:rsidR="00C617A7">
        <w:t xml:space="preserve"> </w:t>
      </w:r>
      <w:r w:rsidR="0015233C">
        <w:t xml:space="preserve">The Pair-Comparison task does not share the same problem because </w:t>
      </w:r>
      <w:r w:rsidR="00C617A7">
        <w:t xml:space="preserve">the Pair-Comparison task only compare two items at a time, which the relationship can be perfectly reflected on a one dimensional scale. </w:t>
      </w:r>
    </w:p>
    <w:p w:rsidR="00414191" w:rsidRPr="00B568C4" w:rsidRDefault="00DB0356" w:rsidP="00B568C4">
      <w:r>
        <w:t>Although the Multi-Items Rearrangement task might cause distortion for the relationship between items because of the response scheme</w:t>
      </w:r>
      <w:r w:rsidR="00A359F5">
        <w:t>.</w:t>
      </w:r>
      <w:r>
        <w:t xml:space="preserve"> </w:t>
      </w:r>
      <w:r w:rsidR="00A359F5">
        <w:t>The results from Experiment 1 shown that</w:t>
      </w:r>
      <w:r>
        <w:t xml:space="preserve"> </w:t>
      </w:r>
      <w:r w:rsidR="005D4F0B">
        <w:t xml:space="preserve">even when the items were constructed from four feature dimensions, </w:t>
      </w:r>
      <w:r>
        <w:t>the Multi-Items Rearrangement task acquired similar similarity matrix as from the Paired-Comparison task, which is free from distortion</w:t>
      </w:r>
      <w:r w:rsidR="009E529A">
        <w:t>.</w:t>
      </w:r>
      <w:r w:rsidR="00527DB6">
        <w:t xml:space="preserve"> </w:t>
      </w:r>
      <w:r w:rsidR="00794FE9">
        <w:t xml:space="preserve">Hence, the </w:t>
      </w:r>
      <w:r w:rsidR="00C35806">
        <w:t>distortion might not be severe in the Multi-Items Rearrangement task.</w:t>
      </w:r>
      <w:r w:rsidR="00414191">
        <w:br w:type="page"/>
      </w:r>
    </w:p>
    <w:p w:rsidR="00DD79A3" w:rsidRPr="00510C5F" w:rsidRDefault="00414191" w:rsidP="00E1269C">
      <w:pPr>
        <w:pStyle w:val="SectionTitle"/>
      </w:pPr>
      <w:r>
        <w:lastRenderedPageBreak/>
        <w:t>References</w:t>
      </w:r>
    </w:p>
    <w:p w:rsidR="00D6377F" w:rsidRPr="00D6377F" w:rsidRDefault="00DD79A3" w:rsidP="00D6377F">
      <w:pPr>
        <w:pStyle w:val="Bibliography"/>
        <w:rPr>
          <w:rFonts w:ascii="Times New Roman" w:hAnsi="Times New Roman" w:cs="Times New Roman"/>
        </w:rPr>
      </w:pPr>
      <w:r>
        <w:fldChar w:fldCharType="begin"/>
      </w:r>
      <w:r w:rsidR="00020E26">
        <w:instrText xml:space="preserve"> ADDIN ZOTERO_BIBL {"custom":[]} CSL_BIBLIOGRAPHY </w:instrText>
      </w:r>
      <w:r>
        <w:fldChar w:fldCharType="separate"/>
      </w:r>
      <w:r w:rsidR="00D6377F" w:rsidRPr="00D6377F">
        <w:rPr>
          <w:rFonts w:ascii="Times New Roman" w:hAnsi="Times New Roman" w:cs="Times New Roman"/>
        </w:rPr>
        <w:t xml:space="preserve">Allen, R. J., Baddeley, A. D., &amp; Hitch, G. J. (2014). Evidence for two attentional components in visual working memory. </w:t>
      </w:r>
      <w:r w:rsidR="00D6377F" w:rsidRPr="00D6377F">
        <w:rPr>
          <w:rFonts w:ascii="Times New Roman" w:hAnsi="Times New Roman" w:cs="Times New Roman"/>
          <w:i/>
          <w:iCs/>
        </w:rPr>
        <w:t>Journal of Experimental Psychology: Learning, Memory, and Cognition</w:t>
      </w:r>
      <w:r w:rsidR="00D6377F" w:rsidRPr="00D6377F">
        <w:rPr>
          <w:rFonts w:ascii="Times New Roman" w:hAnsi="Times New Roman" w:cs="Times New Roman"/>
        </w:rPr>
        <w:t xml:space="preserve">, </w:t>
      </w:r>
      <w:r w:rsidR="00D6377F" w:rsidRPr="00D6377F">
        <w:rPr>
          <w:rFonts w:ascii="Times New Roman" w:hAnsi="Times New Roman" w:cs="Times New Roman"/>
          <w:i/>
          <w:iCs/>
        </w:rPr>
        <w:t>40</w:t>
      </w:r>
      <w:r w:rsidR="00D6377F" w:rsidRPr="00D6377F">
        <w:rPr>
          <w:rFonts w:ascii="Times New Roman" w:hAnsi="Times New Roman" w:cs="Times New Roman"/>
        </w:rPr>
        <w:t>(6), 1499–1509. https://doi.org/10.1037/xlm0000002</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Boles, D. B., &amp; Clifford, J. E. (1989). An upper- and lowercase alphabetic similarity matrix, with derived generation similarity values. </w:t>
      </w:r>
      <w:r w:rsidRPr="00D6377F">
        <w:rPr>
          <w:rFonts w:ascii="Times New Roman" w:hAnsi="Times New Roman" w:cs="Times New Roman"/>
          <w:i/>
          <w:iCs/>
        </w:rPr>
        <w:t>Behavior Research Methods, Instruments, &amp; Computers</w:t>
      </w:r>
      <w:r w:rsidRPr="00D6377F">
        <w:rPr>
          <w:rFonts w:ascii="Times New Roman" w:hAnsi="Times New Roman" w:cs="Times New Roman"/>
        </w:rPr>
        <w:t xml:space="preserve">, </w:t>
      </w:r>
      <w:r w:rsidRPr="00D6377F">
        <w:rPr>
          <w:rFonts w:ascii="Times New Roman" w:hAnsi="Times New Roman" w:cs="Times New Roman"/>
          <w:i/>
          <w:iCs/>
        </w:rPr>
        <w:t>21</w:t>
      </w:r>
      <w:r w:rsidRPr="00D6377F">
        <w:rPr>
          <w:rFonts w:ascii="Times New Roman" w:hAnsi="Times New Roman" w:cs="Times New Roman"/>
        </w:rPr>
        <w:t>(6), 579–586. https://doi.org/10.3758/BF03210580</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Cheverud, J. M., &amp; Marroig, G. (2007). Research Article Comparing covariance matrices: random skewers method compared to the common principal components model. </w:t>
      </w:r>
      <w:r w:rsidRPr="00D6377F">
        <w:rPr>
          <w:rFonts w:ascii="Times New Roman" w:hAnsi="Times New Roman" w:cs="Times New Roman"/>
          <w:i/>
          <w:iCs/>
        </w:rPr>
        <w:t>Genetics and Molecular Biology</w:t>
      </w:r>
      <w:r w:rsidRPr="00D6377F">
        <w:rPr>
          <w:rFonts w:ascii="Times New Roman" w:hAnsi="Times New Roman" w:cs="Times New Roman"/>
        </w:rPr>
        <w:t xml:space="preserve">, </w:t>
      </w:r>
      <w:r w:rsidRPr="00D6377F">
        <w:rPr>
          <w:rFonts w:ascii="Times New Roman" w:hAnsi="Times New Roman" w:cs="Times New Roman"/>
          <w:i/>
          <w:iCs/>
        </w:rPr>
        <w:t>30</w:t>
      </w:r>
      <w:r w:rsidRPr="00D6377F">
        <w:rPr>
          <w:rFonts w:ascii="Times New Roman" w:hAnsi="Times New Roman" w:cs="Times New Roman"/>
        </w:rPr>
        <w:t>(2), 461–469. https://doi.org/10.1590/S1415-47572007000300027</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Farrell, S. (2006). Mixed-list phonological similarity effects in delayed serial recall. </w:t>
      </w:r>
      <w:r w:rsidRPr="00D6377F">
        <w:rPr>
          <w:rFonts w:ascii="Times New Roman" w:hAnsi="Times New Roman" w:cs="Times New Roman"/>
          <w:i/>
          <w:iCs/>
        </w:rPr>
        <w:t>Journal of Memory and Language</w:t>
      </w:r>
      <w:r w:rsidRPr="00D6377F">
        <w:rPr>
          <w:rFonts w:ascii="Times New Roman" w:hAnsi="Times New Roman" w:cs="Times New Roman"/>
        </w:rPr>
        <w:t xml:space="preserve">, </w:t>
      </w:r>
      <w:r w:rsidRPr="00D6377F">
        <w:rPr>
          <w:rFonts w:ascii="Times New Roman" w:hAnsi="Times New Roman" w:cs="Times New Roman"/>
          <w:i/>
          <w:iCs/>
        </w:rPr>
        <w:t>55</w:t>
      </w:r>
      <w:r w:rsidRPr="00D6377F">
        <w:rPr>
          <w:rFonts w:ascii="Times New Roman" w:hAnsi="Times New Roman" w:cs="Times New Roman"/>
        </w:rPr>
        <w:t>(4), 587–600. https://doi.org/10.1016/j.jml.2006.06.002</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Giordano, B. L., Guastavino, C., Murphy, E., Ogg, M., Smith, B. K., &amp; McAdams, S. (2011). Comparison of Methods for Collecting and Modeling Dissimilarity Data: Applications to Complex Sound Stimuli. </w:t>
      </w:r>
      <w:r w:rsidRPr="00D6377F">
        <w:rPr>
          <w:rFonts w:ascii="Times New Roman" w:hAnsi="Times New Roman" w:cs="Times New Roman"/>
          <w:i/>
          <w:iCs/>
        </w:rPr>
        <w:t>Multivariate Behavioral Research</w:t>
      </w:r>
      <w:r w:rsidRPr="00D6377F">
        <w:rPr>
          <w:rFonts w:ascii="Times New Roman" w:hAnsi="Times New Roman" w:cs="Times New Roman"/>
        </w:rPr>
        <w:t xml:space="preserve">, </w:t>
      </w:r>
      <w:r w:rsidRPr="00D6377F">
        <w:rPr>
          <w:rFonts w:ascii="Times New Roman" w:hAnsi="Times New Roman" w:cs="Times New Roman"/>
          <w:i/>
          <w:iCs/>
        </w:rPr>
        <w:t>46</w:t>
      </w:r>
      <w:r w:rsidRPr="00D6377F">
        <w:rPr>
          <w:rFonts w:ascii="Times New Roman" w:hAnsi="Times New Roman" w:cs="Times New Roman"/>
        </w:rPr>
        <w:t>(5), 779–811. https://doi.org/10.1080/00273171.2011.606748</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Goldstone, R. L. (1995). Effects of categorization on color perception. </w:t>
      </w:r>
      <w:r w:rsidRPr="00D6377F">
        <w:rPr>
          <w:rFonts w:ascii="Times New Roman" w:hAnsi="Times New Roman" w:cs="Times New Roman"/>
          <w:i/>
          <w:iCs/>
        </w:rPr>
        <w:t>Psychological Science</w:t>
      </w:r>
      <w:r w:rsidRPr="00D6377F">
        <w:rPr>
          <w:rFonts w:ascii="Times New Roman" w:hAnsi="Times New Roman" w:cs="Times New Roman"/>
        </w:rPr>
        <w:t xml:space="preserve">, </w:t>
      </w:r>
      <w:r w:rsidRPr="00D6377F">
        <w:rPr>
          <w:rFonts w:ascii="Times New Roman" w:hAnsi="Times New Roman" w:cs="Times New Roman"/>
          <w:i/>
          <w:iCs/>
        </w:rPr>
        <w:t>6</w:t>
      </w:r>
      <w:r w:rsidRPr="00D6377F">
        <w:rPr>
          <w:rFonts w:ascii="Times New Roman" w:hAnsi="Times New Roman" w:cs="Times New Roman"/>
        </w:rPr>
        <w:t>(5), 298–304.</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Heit, E., &amp; Rubinstein, J. (1994). Similarity and property effects in inductive reasoning. </w:t>
      </w:r>
      <w:r w:rsidRPr="00D6377F">
        <w:rPr>
          <w:rFonts w:ascii="Times New Roman" w:hAnsi="Times New Roman" w:cs="Times New Roman"/>
          <w:i/>
          <w:iCs/>
        </w:rPr>
        <w:t>Journal of Experimental Psychology: Learning, Memory, and Cognition</w:t>
      </w:r>
      <w:r w:rsidRPr="00D6377F">
        <w:rPr>
          <w:rFonts w:ascii="Times New Roman" w:hAnsi="Times New Roman" w:cs="Times New Roman"/>
        </w:rPr>
        <w:t xml:space="preserve">, </w:t>
      </w:r>
      <w:r w:rsidRPr="00D6377F">
        <w:rPr>
          <w:rFonts w:ascii="Times New Roman" w:hAnsi="Times New Roman" w:cs="Times New Roman"/>
          <w:i/>
          <w:iCs/>
        </w:rPr>
        <w:t>20</w:t>
      </w:r>
      <w:r w:rsidRPr="00D6377F">
        <w:rPr>
          <w:rFonts w:ascii="Times New Roman" w:hAnsi="Times New Roman" w:cs="Times New Roman"/>
        </w:rPr>
        <w:t>(2), 411.</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Jackson, M. C., Linden, D. E. J., Roberts, M. V., Kriegeskorte, N., &amp; Haenschel, C. (2015). Similarity, not complexity, determines visual working memory performance. </w:t>
      </w:r>
      <w:r w:rsidRPr="00D6377F">
        <w:rPr>
          <w:rFonts w:ascii="Times New Roman" w:hAnsi="Times New Roman" w:cs="Times New Roman"/>
          <w:i/>
          <w:iCs/>
        </w:rPr>
        <w:t xml:space="preserve">Journal of </w:t>
      </w:r>
      <w:r w:rsidRPr="00D6377F">
        <w:rPr>
          <w:rFonts w:ascii="Times New Roman" w:hAnsi="Times New Roman" w:cs="Times New Roman"/>
          <w:i/>
          <w:iCs/>
        </w:rPr>
        <w:lastRenderedPageBreak/>
        <w:t>Experimental Psychology: Learning, Memory, and Cognition</w:t>
      </w:r>
      <w:r w:rsidRPr="00D6377F">
        <w:rPr>
          <w:rFonts w:ascii="Times New Roman" w:hAnsi="Times New Roman" w:cs="Times New Roman"/>
        </w:rPr>
        <w:t xml:space="preserve">, </w:t>
      </w:r>
      <w:r w:rsidRPr="00D6377F">
        <w:rPr>
          <w:rFonts w:ascii="Times New Roman" w:hAnsi="Times New Roman" w:cs="Times New Roman"/>
          <w:i/>
          <w:iCs/>
        </w:rPr>
        <w:t>41</w:t>
      </w:r>
      <w:r w:rsidRPr="00D6377F">
        <w:rPr>
          <w:rFonts w:ascii="Times New Roman" w:hAnsi="Times New Roman" w:cs="Times New Roman"/>
        </w:rPr>
        <w:t>(6), 1884–1892. https://doi.org/10.1037/xlm0000125</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lang w:val="de-CH"/>
        </w:rPr>
        <w:t xml:space="preserve">Luck, S. J., &amp; Vogel, E. K. (1997). </w:t>
      </w:r>
      <w:r w:rsidRPr="00D6377F">
        <w:rPr>
          <w:rFonts w:ascii="Times New Roman" w:hAnsi="Times New Roman" w:cs="Times New Roman"/>
        </w:rPr>
        <w:t xml:space="preserve">The capacity of visual working memory for features and conjunctions. </w:t>
      </w:r>
      <w:r w:rsidRPr="00D6377F">
        <w:rPr>
          <w:rFonts w:ascii="Times New Roman" w:hAnsi="Times New Roman" w:cs="Times New Roman"/>
          <w:i/>
          <w:iCs/>
        </w:rPr>
        <w:t>Nature</w:t>
      </w:r>
      <w:r w:rsidRPr="00D6377F">
        <w:rPr>
          <w:rFonts w:ascii="Times New Roman" w:hAnsi="Times New Roman" w:cs="Times New Roman"/>
        </w:rPr>
        <w:t xml:space="preserve">, </w:t>
      </w:r>
      <w:r w:rsidRPr="00D6377F">
        <w:rPr>
          <w:rFonts w:ascii="Times New Roman" w:hAnsi="Times New Roman" w:cs="Times New Roman"/>
          <w:i/>
          <w:iCs/>
        </w:rPr>
        <w:t>390</w:t>
      </w:r>
      <w:r w:rsidRPr="00D6377F">
        <w:rPr>
          <w:rFonts w:ascii="Times New Roman" w:hAnsi="Times New Roman" w:cs="Times New Roman"/>
        </w:rPr>
        <w:t>(6657), 279–281. https://doi.org/10.1038/36846</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Morey, R. D., &amp; Rouder, J. N. (2015). BayesFactor: omputation of Bayes Factors for Common Designs (Version R package version 0.9.12-2). Retrieved from https://CRAN.R-project.org/package=BayesFactor</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Nosofsky, R. M., &amp; Kantner, J. (2006). Exemplar similarity, study list homogeneity, and short-term perceptual recognition. </w:t>
      </w:r>
      <w:r w:rsidRPr="00D6377F">
        <w:rPr>
          <w:rFonts w:ascii="Times New Roman" w:hAnsi="Times New Roman" w:cs="Times New Roman"/>
          <w:i/>
          <w:iCs/>
        </w:rPr>
        <w:t>Memory &amp; Cognition</w:t>
      </w:r>
      <w:r w:rsidRPr="00D6377F">
        <w:rPr>
          <w:rFonts w:ascii="Times New Roman" w:hAnsi="Times New Roman" w:cs="Times New Roman"/>
        </w:rPr>
        <w:t xml:space="preserve">, </w:t>
      </w:r>
      <w:r w:rsidRPr="00D6377F">
        <w:rPr>
          <w:rFonts w:ascii="Times New Roman" w:hAnsi="Times New Roman" w:cs="Times New Roman"/>
          <w:i/>
          <w:iCs/>
        </w:rPr>
        <w:t>34</w:t>
      </w:r>
      <w:r w:rsidRPr="00D6377F">
        <w:rPr>
          <w:rFonts w:ascii="Times New Roman" w:hAnsi="Times New Roman" w:cs="Times New Roman"/>
        </w:rPr>
        <w:t>(1), 112–124. https://doi.org/10.3758/BF03193391</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Nosofsky, R. M., &amp; Palmeri, T. J. (1997). An exemplar-based random walk model of speeded classification. </w:t>
      </w:r>
      <w:r w:rsidRPr="00D6377F">
        <w:rPr>
          <w:rFonts w:ascii="Times New Roman" w:hAnsi="Times New Roman" w:cs="Times New Roman"/>
          <w:i/>
          <w:iCs/>
        </w:rPr>
        <w:t>Psychological Review</w:t>
      </w:r>
      <w:r w:rsidRPr="00D6377F">
        <w:rPr>
          <w:rFonts w:ascii="Times New Roman" w:hAnsi="Times New Roman" w:cs="Times New Roman"/>
        </w:rPr>
        <w:t xml:space="preserve">, </w:t>
      </w:r>
      <w:r w:rsidRPr="00D6377F">
        <w:rPr>
          <w:rFonts w:ascii="Times New Roman" w:hAnsi="Times New Roman" w:cs="Times New Roman"/>
          <w:i/>
          <w:iCs/>
        </w:rPr>
        <w:t>104</w:t>
      </w:r>
      <w:r w:rsidRPr="00D6377F">
        <w:rPr>
          <w:rFonts w:ascii="Times New Roman" w:hAnsi="Times New Roman" w:cs="Times New Roman"/>
        </w:rPr>
        <w:t>(2), 266–300. https://doi.org/10.1037/0033-295X.104.2.266</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R. Core Team. (2016). </w:t>
      </w:r>
      <w:r w:rsidRPr="00D6377F">
        <w:rPr>
          <w:rFonts w:ascii="Times New Roman" w:hAnsi="Times New Roman" w:cs="Times New Roman"/>
          <w:i/>
          <w:iCs/>
        </w:rPr>
        <w:t>R: A Language and Environment for Statistical Computing</w:t>
      </w:r>
      <w:r w:rsidRPr="00D6377F">
        <w:rPr>
          <w:rFonts w:ascii="Times New Roman" w:hAnsi="Times New Roman" w:cs="Times New Roman"/>
        </w:rPr>
        <w:t>. Vienna, Austria. Retrieved from http://www.R-project.org/</w:t>
      </w:r>
    </w:p>
    <w:p w:rsidR="0031081F" w:rsidRDefault="00DD79A3">
      <w:pPr>
        <w:pStyle w:val="SectionTitle"/>
      </w:pPr>
      <w:r>
        <w:lastRenderedPageBreak/>
        <w:fldChar w:fldCharType="end"/>
      </w:r>
      <w:r w:rsidR="00D74F71">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C00C73">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C00C73">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NoSpacing"/>
              <w:jc w:val="center"/>
            </w:pPr>
            <w:r>
              <w:t>Item</w:t>
            </w:r>
          </w:p>
        </w:tc>
        <w:tc>
          <w:tcPr>
            <w:tcW w:w="1137" w:type="pct"/>
          </w:tcPr>
          <w:p w:rsidR="00AA6790" w:rsidRDefault="0015025B" w:rsidP="00484563">
            <w:pPr>
              <w:pStyle w:val="NoSpacing"/>
              <w:jc w:val="center"/>
            </w:pPr>
            <w:r>
              <w:t>R</w:t>
            </w:r>
          </w:p>
        </w:tc>
        <w:tc>
          <w:tcPr>
            <w:tcW w:w="1137" w:type="pct"/>
          </w:tcPr>
          <w:p w:rsidR="00AA6790" w:rsidRDefault="0015025B" w:rsidP="00484563">
            <w:pPr>
              <w:pStyle w:val="NoSpacing"/>
              <w:jc w:val="center"/>
            </w:pPr>
            <w:r>
              <w:t>G</w:t>
            </w:r>
          </w:p>
        </w:tc>
        <w:tc>
          <w:tcPr>
            <w:tcW w:w="1137" w:type="pct"/>
          </w:tcPr>
          <w:p w:rsidR="00AA6790" w:rsidRPr="0015025B" w:rsidRDefault="0015025B" w:rsidP="00484563">
            <w:pPr>
              <w:pStyle w:val="NoSpacing"/>
              <w:jc w:val="center"/>
            </w:pPr>
            <w:r>
              <w:t>B</w:t>
            </w:r>
          </w:p>
        </w:tc>
      </w:tr>
      <w:tr w:rsidR="00795BD9" w:rsidTr="00795BD9">
        <w:tc>
          <w:tcPr>
            <w:tcW w:w="1590" w:type="pct"/>
          </w:tcPr>
          <w:p w:rsidR="00AA6790" w:rsidRDefault="00AA6790" w:rsidP="00484563">
            <w:pPr>
              <w:pStyle w:val="NoSpacing"/>
              <w:jc w:val="right"/>
            </w:pPr>
            <w:r>
              <w:t>1</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90</w:t>
            </w:r>
          </w:p>
        </w:tc>
        <w:tc>
          <w:tcPr>
            <w:tcW w:w="1137" w:type="pct"/>
          </w:tcPr>
          <w:p w:rsidR="00AA6790" w:rsidRPr="0049710E" w:rsidRDefault="007118AC" w:rsidP="00484563">
            <w:pPr>
              <w:pStyle w:val="NoSpacing"/>
              <w:jc w:val="right"/>
            </w:pPr>
            <w:r>
              <w:t>109</w:t>
            </w:r>
          </w:p>
        </w:tc>
      </w:tr>
      <w:tr w:rsidR="00795BD9" w:rsidTr="00795BD9">
        <w:tc>
          <w:tcPr>
            <w:tcW w:w="1590" w:type="pct"/>
          </w:tcPr>
          <w:p w:rsidR="00AA6790" w:rsidRDefault="00AA6790" w:rsidP="00484563">
            <w:pPr>
              <w:pStyle w:val="NoSpacing"/>
              <w:jc w:val="right"/>
            </w:pPr>
            <w:r>
              <w:t>2</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97</w:t>
            </w:r>
          </w:p>
        </w:tc>
        <w:tc>
          <w:tcPr>
            <w:tcW w:w="1137" w:type="pct"/>
          </w:tcPr>
          <w:p w:rsidR="00AA6790" w:rsidRPr="0049710E" w:rsidRDefault="007118AC" w:rsidP="00484563">
            <w:pPr>
              <w:pStyle w:val="NoSpacing"/>
              <w:jc w:val="right"/>
            </w:pPr>
            <w:r>
              <w:t>65</w:t>
            </w:r>
          </w:p>
        </w:tc>
      </w:tr>
      <w:tr w:rsidR="00795BD9" w:rsidTr="00795BD9">
        <w:tc>
          <w:tcPr>
            <w:tcW w:w="1590" w:type="pct"/>
          </w:tcPr>
          <w:p w:rsidR="00AA6790" w:rsidRDefault="00AA6790" w:rsidP="00484563">
            <w:pPr>
              <w:pStyle w:val="NoSpacing"/>
              <w:jc w:val="right"/>
            </w:pPr>
            <w:r>
              <w:t>3</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116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4</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137</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5</w:t>
            </w:r>
          </w:p>
        </w:tc>
        <w:tc>
          <w:tcPr>
            <w:tcW w:w="1137" w:type="pct"/>
          </w:tcPr>
          <w:p w:rsidR="00AA6790" w:rsidRDefault="00D1197C" w:rsidP="00484563">
            <w:pPr>
              <w:pStyle w:val="NoSpacing"/>
              <w:jc w:val="right"/>
            </w:pPr>
            <w:r>
              <w:t>238</w:t>
            </w:r>
          </w:p>
        </w:tc>
        <w:tc>
          <w:tcPr>
            <w:tcW w:w="1137" w:type="pct"/>
          </w:tcPr>
          <w:p w:rsidR="00AA6790" w:rsidRDefault="00D1197C" w:rsidP="00484563">
            <w:pPr>
              <w:pStyle w:val="NoSpacing"/>
              <w:jc w:val="right"/>
            </w:pPr>
            <w:r>
              <w:t>156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6</w:t>
            </w:r>
          </w:p>
        </w:tc>
        <w:tc>
          <w:tcPr>
            <w:tcW w:w="1137" w:type="pct"/>
          </w:tcPr>
          <w:p w:rsidR="00AA6790" w:rsidRDefault="00D1197C" w:rsidP="00484563">
            <w:pPr>
              <w:pStyle w:val="NoSpacing"/>
              <w:jc w:val="right"/>
            </w:pPr>
            <w:r>
              <w:t>204</w:t>
            </w:r>
          </w:p>
        </w:tc>
        <w:tc>
          <w:tcPr>
            <w:tcW w:w="1137" w:type="pct"/>
          </w:tcPr>
          <w:p w:rsidR="00AA6790" w:rsidRDefault="00D1197C" w:rsidP="00484563">
            <w:pPr>
              <w:pStyle w:val="NoSpacing"/>
              <w:jc w:val="right"/>
            </w:pPr>
            <w:r>
              <w:t>171</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7</w:t>
            </w:r>
          </w:p>
        </w:tc>
        <w:tc>
          <w:tcPr>
            <w:tcW w:w="1137" w:type="pct"/>
          </w:tcPr>
          <w:p w:rsidR="00AA6790" w:rsidRPr="0049710E" w:rsidRDefault="00D1197C" w:rsidP="00484563">
            <w:pPr>
              <w:pStyle w:val="NoSpacing"/>
              <w:jc w:val="right"/>
            </w:pPr>
            <w:r>
              <w:t>170</w:t>
            </w:r>
          </w:p>
        </w:tc>
        <w:tc>
          <w:tcPr>
            <w:tcW w:w="1137" w:type="pct"/>
          </w:tcPr>
          <w:p w:rsidR="00AA6790" w:rsidRPr="0049710E" w:rsidRDefault="00D1197C" w:rsidP="00484563">
            <w:pPr>
              <w:pStyle w:val="NoSpacing"/>
              <w:jc w:val="right"/>
            </w:pPr>
            <w:r>
              <w:t>182</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8</w:t>
            </w:r>
          </w:p>
        </w:tc>
        <w:tc>
          <w:tcPr>
            <w:tcW w:w="1137" w:type="pct"/>
          </w:tcPr>
          <w:p w:rsidR="00AA6790" w:rsidRPr="0049710E" w:rsidRDefault="00D1197C" w:rsidP="00484563">
            <w:pPr>
              <w:pStyle w:val="NoSpacing"/>
              <w:jc w:val="right"/>
            </w:pPr>
            <w:r>
              <w:t>141</w:t>
            </w:r>
          </w:p>
        </w:tc>
        <w:tc>
          <w:tcPr>
            <w:tcW w:w="1137" w:type="pct"/>
          </w:tcPr>
          <w:p w:rsidR="00AA6790" w:rsidRPr="0049710E" w:rsidRDefault="00D1197C" w:rsidP="00484563">
            <w:pPr>
              <w:pStyle w:val="NoSpacing"/>
              <w:jc w:val="right"/>
            </w:pPr>
            <w:r>
              <w:t>188</w:t>
            </w:r>
          </w:p>
        </w:tc>
        <w:tc>
          <w:tcPr>
            <w:tcW w:w="1137" w:type="pct"/>
          </w:tcPr>
          <w:p w:rsidR="00AA6790" w:rsidRPr="0049710E" w:rsidRDefault="007118AC" w:rsidP="00484563">
            <w:pPr>
              <w:pStyle w:val="NoSpacing"/>
              <w:jc w:val="right"/>
            </w:pPr>
            <w:r>
              <w:t>49</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9</w:t>
            </w:r>
          </w:p>
        </w:tc>
        <w:tc>
          <w:tcPr>
            <w:tcW w:w="1137" w:type="pct"/>
          </w:tcPr>
          <w:p w:rsidR="00AA6790" w:rsidRPr="0049710E" w:rsidRDefault="00D1197C" w:rsidP="00484563">
            <w:pPr>
              <w:pStyle w:val="NoSpacing"/>
              <w:jc w:val="right"/>
            </w:pPr>
            <w:r>
              <w:t>118</w:t>
            </w:r>
          </w:p>
        </w:tc>
        <w:tc>
          <w:tcPr>
            <w:tcW w:w="1137" w:type="pct"/>
          </w:tcPr>
          <w:p w:rsidR="00AA6790" w:rsidRPr="0049710E" w:rsidRDefault="00D1197C" w:rsidP="00484563">
            <w:pPr>
              <w:pStyle w:val="NoSpacing"/>
              <w:jc w:val="right"/>
            </w:pPr>
            <w:r>
              <w:t>191</w:t>
            </w:r>
          </w:p>
        </w:tc>
        <w:tc>
          <w:tcPr>
            <w:tcW w:w="1137" w:type="pct"/>
          </w:tcPr>
          <w:p w:rsidR="00AA6790" w:rsidRPr="0049710E" w:rsidRDefault="007118AC" w:rsidP="00484563">
            <w:pPr>
              <w:pStyle w:val="NoSpacing"/>
              <w:jc w:val="right"/>
            </w:pPr>
            <w:r>
              <w:t>101</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10</w:t>
            </w:r>
          </w:p>
        </w:tc>
        <w:tc>
          <w:tcPr>
            <w:tcW w:w="1137" w:type="pct"/>
          </w:tcPr>
          <w:p w:rsidR="00AA6790" w:rsidRPr="0049710E" w:rsidRDefault="00D1197C" w:rsidP="00484563">
            <w:pPr>
              <w:pStyle w:val="NoSpacing"/>
              <w:jc w:val="right"/>
            </w:pPr>
            <w:r>
              <w:t>107</w:t>
            </w:r>
          </w:p>
        </w:tc>
        <w:tc>
          <w:tcPr>
            <w:tcW w:w="1137" w:type="pct"/>
          </w:tcPr>
          <w:p w:rsidR="00AA6790" w:rsidRPr="0049710E" w:rsidRDefault="00D1197C" w:rsidP="00484563">
            <w:pPr>
              <w:pStyle w:val="NoSpacing"/>
              <w:jc w:val="right"/>
            </w:pPr>
            <w:r>
              <w:t>190</w:t>
            </w:r>
          </w:p>
        </w:tc>
        <w:tc>
          <w:tcPr>
            <w:tcW w:w="1137" w:type="pct"/>
          </w:tcPr>
          <w:p w:rsidR="00AA6790" w:rsidRPr="0049710E" w:rsidRDefault="007118AC" w:rsidP="00484563">
            <w:pPr>
              <w:pStyle w:val="NoSpacing"/>
              <w:jc w:val="right"/>
            </w:pPr>
            <w:r>
              <w:t>145</w:t>
            </w:r>
          </w:p>
        </w:tc>
      </w:tr>
      <w:tr w:rsidR="009622D1" w:rsidTr="00795BD9">
        <w:tc>
          <w:tcPr>
            <w:tcW w:w="1590" w:type="pct"/>
          </w:tcPr>
          <w:p w:rsidR="009622D1" w:rsidRDefault="009622D1" w:rsidP="00484563">
            <w:pPr>
              <w:pStyle w:val="NoSpacing"/>
              <w:jc w:val="right"/>
              <w:rPr>
                <w:rFonts w:eastAsia="MS Gothic"/>
              </w:rPr>
            </w:pPr>
            <w:r>
              <w:rPr>
                <w:rFonts w:eastAsia="MS Gothic"/>
              </w:rPr>
              <w:t>11</w:t>
            </w:r>
          </w:p>
        </w:tc>
        <w:tc>
          <w:tcPr>
            <w:tcW w:w="1137" w:type="pct"/>
          </w:tcPr>
          <w:p w:rsidR="009622D1" w:rsidRPr="0049710E" w:rsidRDefault="00D1197C" w:rsidP="00484563">
            <w:pPr>
              <w:pStyle w:val="NoSpacing"/>
              <w:jc w:val="right"/>
            </w:pPr>
            <w:r>
              <w:t>117</w:t>
            </w:r>
          </w:p>
        </w:tc>
        <w:tc>
          <w:tcPr>
            <w:tcW w:w="1137" w:type="pct"/>
          </w:tcPr>
          <w:p w:rsidR="009622D1" w:rsidRPr="0049710E" w:rsidRDefault="00D1197C" w:rsidP="00484563">
            <w:pPr>
              <w:pStyle w:val="NoSpacing"/>
              <w:jc w:val="right"/>
            </w:pPr>
            <w:r>
              <w:t>180</w:t>
            </w:r>
          </w:p>
        </w:tc>
        <w:tc>
          <w:tcPr>
            <w:tcW w:w="1137" w:type="pct"/>
          </w:tcPr>
          <w:p w:rsidR="009622D1" w:rsidRDefault="007118AC" w:rsidP="00484563">
            <w:pPr>
              <w:pStyle w:val="NoSpacing"/>
              <w:jc w:val="right"/>
            </w:pPr>
            <w:r>
              <w:t>180</w:t>
            </w:r>
          </w:p>
        </w:tc>
      </w:tr>
      <w:tr w:rsidR="009622D1" w:rsidTr="00795BD9">
        <w:tc>
          <w:tcPr>
            <w:tcW w:w="1590" w:type="pct"/>
          </w:tcPr>
          <w:p w:rsidR="009622D1" w:rsidRDefault="009622D1" w:rsidP="00484563">
            <w:pPr>
              <w:pStyle w:val="NoSpacing"/>
              <w:jc w:val="right"/>
              <w:rPr>
                <w:rFonts w:eastAsia="MS Gothic"/>
              </w:rPr>
            </w:pPr>
            <w:r>
              <w:rPr>
                <w:rFonts w:eastAsia="MS Gothic"/>
              </w:rPr>
              <w:t>12</w:t>
            </w:r>
          </w:p>
        </w:tc>
        <w:tc>
          <w:tcPr>
            <w:tcW w:w="1137" w:type="pct"/>
          </w:tcPr>
          <w:p w:rsidR="009622D1" w:rsidRPr="0049710E" w:rsidRDefault="00D1197C" w:rsidP="00484563">
            <w:pPr>
              <w:pStyle w:val="NoSpacing"/>
              <w:jc w:val="right"/>
            </w:pPr>
            <w:r>
              <w:t>149</w:t>
            </w:r>
          </w:p>
        </w:tc>
        <w:tc>
          <w:tcPr>
            <w:tcW w:w="1137" w:type="pct"/>
          </w:tcPr>
          <w:p w:rsidR="009622D1" w:rsidRPr="0049710E" w:rsidRDefault="00D1197C" w:rsidP="00484563">
            <w:pPr>
              <w:pStyle w:val="NoSpacing"/>
              <w:jc w:val="right"/>
            </w:pPr>
            <w:r>
              <w:t>176</w:t>
            </w:r>
          </w:p>
        </w:tc>
        <w:tc>
          <w:tcPr>
            <w:tcW w:w="1137" w:type="pct"/>
          </w:tcPr>
          <w:p w:rsidR="009622D1" w:rsidRDefault="007118AC" w:rsidP="00484563">
            <w:pPr>
              <w:pStyle w:val="NoSpacing"/>
              <w:jc w:val="right"/>
            </w:pPr>
            <w:r>
              <w:t>204</w:t>
            </w:r>
          </w:p>
        </w:tc>
      </w:tr>
      <w:tr w:rsidR="009622D1" w:rsidTr="00795BD9">
        <w:tc>
          <w:tcPr>
            <w:tcW w:w="1590" w:type="pct"/>
          </w:tcPr>
          <w:p w:rsidR="009622D1" w:rsidRDefault="009622D1" w:rsidP="00484563">
            <w:pPr>
              <w:pStyle w:val="NoSpacing"/>
              <w:jc w:val="right"/>
              <w:rPr>
                <w:rFonts w:eastAsia="MS Gothic"/>
              </w:rPr>
            </w:pPr>
            <w:r>
              <w:rPr>
                <w:rFonts w:eastAsia="MS Gothic"/>
              </w:rPr>
              <w:t>13</w:t>
            </w:r>
          </w:p>
        </w:tc>
        <w:tc>
          <w:tcPr>
            <w:tcW w:w="1137" w:type="pct"/>
          </w:tcPr>
          <w:p w:rsidR="009622D1" w:rsidRPr="0049710E" w:rsidRDefault="00D1197C" w:rsidP="00484563">
            <w:pPr>
              <w:pStyle w:val="NoSpacing"/>
              <w:jc w:val="right"/>
            </w:pPr>
            <w:r>
              <w:t>191</w:t>
            </w:r>
          </w:p>
        </w:tc>
        <w:tc>
          <w:tcPr>
            <w:tcW w:w="1137" w:type="pct"/>
          </w:tcPr>
          <w:p w:rsidR="009622D1" w:rsidRPr="0049710E" w:rsidRDefault="00D1197C" w:rsidP="00484563">
            <w:pPr>
              <w:pStyle w:val="NoSpacing"/>
              <w:jc w:val="right"/>
            </w:pPr>
            <w:r>
              <w:t>162</w:t>
            </w:r>
          </w:p>
        </w:tc>
        <w:tc>
          <w:tcPr>
            <w:tcW w:w="1137" w:type="pct"/>
          </w:tcPr>
          <w:p w:rsidR="009622D1" w:rsidRDefault="007118AC" w:rsidP="00484563">
            <w:pPr>
              <w:pStyle w:val="NoSpacing"/>
              <w:jc w:val="right"/>
            </w:pPr>
            <w:r>
              <w:t>213</w:t>
            </w:r>
          </w:p>
        </w:tc>
      </w:tr>
      <w:tr w:rsidR="009622D1" w:rsidTr="00795BD9">
        <w:tc>
          <w:tcPr>
            <w:tcW w:w="1590" w:type="pct"/>
          </w:tcPr>
          <w:p w:rsidR="009622D1" w:rsidRDefault="009622D1" w:rsidP="00484563">
            <w:pPr>
              <w:pStyle w:val="NoSpacing"/>
              <w:jc w:val="right"/>
              <w:rPr>
                <w:rFonts w:eastAsia="MS Gothic"/>
              </w:rPr>
            </w:pPr>
            <w:r>
              <w:rPr>
                <w:rFonts w:eastAsia="MS Gothic"/>
              </w:rPr>
              <w:t>14</w:t>
            </w:r>
          </w:p>
        </w:tc>
        <w:tc>
          <w:tcPr>
            <w:tcW w:w="1137" w:type="pct"/>
          </w:tcPr>
          <w:p w:rsidR="009622D1" w:rsidRPr="0049710E" w:rsidRDefault="00D1197C" w:rsidP="00484563">
            <w:pPr>
              <w:pStyle w:val="NoSpacing"/>
              <w:jc w:val="right"/>
            </w:pPr>
            <w:r>
              <w:t>234</w:t>
            </w:r>
          </w:p>
        </w:tc>
        <w:tc>
          <w:tcPr>
            <w:tcW w:w="1137" w:type="pct"/>
          </w:tcPr>
          <w:p w:rsidR="009622D1" w:rsidRPr="0049710E" w:rsidRDefault="00D1197C" w:rsidP="00484563">
            <w:pPr>
              <w:pStyle w:val="NoSpacing"/>
              <w:jc w:val="right"/>
            </w:pPr>
            <w:r>
              <w:t>144</w:t>
            </w:r>
          </w:p>
        </w:tc>
        <w:tc>
          <w:tcPr>
            <w:tcW w:w="1137" w:type="pct"/>
          </w:tcPr>
          <w:p w:rsidR="009622D1" w:rsidRDefault="007118AC" w:rsidP="00484563">
            <w:pPr>
              <w:pStyle w:val="NoSpacing"/>
              <w:jc w:val="right"/>
            </w:pPr>
            <w:r>
              <w:t>206</w:t>
            </w:r>
          </w:p>
        </w:tc>
      </w:tr>
      <w:tr w:rsidR="009622D1" w:rsidTr="00795BD9">
        <w:tc>
          <w:tcPr>
            <w:tcW w:w="1590" w:type="pct"/>
          </w:tcPr>
          <w:p w:rsidR="009622D1" w:rsidRDefault="009622D1" w:rsidP="00484563">
            <w:pPr>
              <w:pStyle w:val="NoSpacing"/>
              <w:jc w:val="right"/>
              <w:rPr>
                <w:rFonts w:eastAsia="MS Gothic"/>
              </w:rPr>
            </w:pPr>
            <w:r>
              <w:rPr>
                <w:rFonts w:eastAsia="MS Gothic"/>
              </w:rPr>
              <w:t>15</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122</w:t>
            </w:r>
          </w:p>
        </w:tc>
        <w:tc>
          <w:tcPr>
            <w:tcW w:w="1137" w:type="pct"/>
          </w:tcPr>
          <w:p w:rsidR="009622D1" w:rsidRDefault="007118AC" w:rsidP="00484563">
            <w:pPr>
              <w:pStyle w:val="NoSpacing"/>
              <w:jc w:val="right"/>
            </w:pPr>
            <w:r>
              <w:t>183</w:t>
            </w:r>
          </w:p>
        </w:tc>
      </w:tr>
      <w:tr w:rsidR="009622D1" w:rsidTr="00795BD9">
        <w:tc>
          <w:tcPr>
            <w:tcW w:w="1590" w:type="pct"/>
          </w:tcPr>
          <w:p w:rsidR="009622D1" w:rsidRDefault="009622D1" w:rsidP="00484563">
            <w:pPr>
              <w:pStyle w:val="NoSpacing"/>
              <w:jc w:val="right"/>
              <w:rPr>
                <w:rFonts w:eastAsia="MS Gothic"/>
              </w:rPr>
            </w:pPr>
            <w:r>
              <w:rPr>
                <w:rFonts w:eastAsia="MS Gothic"/>
              </w:rPr>
              <w:t>16</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101</w:t>
            </w:r>
          </w:p>
        </w:tc>
        <w:tc>
          <w:tcPr>
            <w:tcW w:w="1137" w:type="pct"/>
          </w:tcPr>
          <w:p w:rsidR="009622D1" w:rsidRDefault="007118AC" w:rsidP="00484563">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C00C73">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NoSpacing"/>
              <w:jc w:val="center"/>
            </w:pPr>
            <w:r>
              <w:t>Participant</w:t>
            </w:r>
          </w:p>
        </w:tc>
        <w:tc>
          <w:tcPr>
            <w:tcW w:w="1146" w:type="pct"/>
          </w:tcPr>
          <w:p w:rsidR="005F52AC" w:rsidRDefault="005F52AC" w:rsidP="00484563">
            <w:pPr>
              <w:pStyle w:val="NoSpacing"/>
              <w:jc w:val="center"/>
            </w:pPr>
            <w:r>
              <w:t>Paired-Comparison</w:t>
            </w:r>
          </w:p>
        </w:tc>
        <w:tc>
          <w:tcPr>
            <w:tcW w:w="1666" w:type="pct"/>
          </w:tcPr>
          <w:p w:rsidR="005F52AC" w:rsidRDefault="005F52AC" w:rsidP="00484563">
            <w:pPr>
              <w:pStyle w:val="NoSpacing"/>
              <w:jc w:val="center"/>
            </w:pPr>
            <w:r>
              <w:t>Multi-Items Rearrangement</w:t>
            </w:r>
          </w:p>
        </w:tc>
        <w:tc>
          <w:tcPr>
            <w:tcW w:w="1517" w:type="pct"/>
          </w:tcPr>
          <w:p w:rsidR="005F52AC" w:rsidRDefault="005F52AC" w:rsidP="00484563">
            <w:pPr>
              <w:pStyle w:val="NoSpacing"/>
              <w:jc w:val="center"/>
            </w:pPr>
            <w:r>
              <w:t>Validity</w:t>
            </w:r>
          </w:p>
        </w:tc>
      </w:tr>
      <w:tr w:rsidR="005F52AC" w:rsidTr="00484563">
        <w:tc>
          <w:tcPr>
            <w:tcW w:w="671" w:type="pct"/>
          </w:tcPr>
          <w:p w:rsidR="005F52AC" w:rsidRDefault="005F52AC" w:rsidP="00484563">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Default="005F52AC" w:rsidP="00484563">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484563">
            <w:pPr>
              <w:pStyle w:val="NoSpacing"/>
              <w:jc w:val="right"/>
            </w:pPr>
            <w:r>
              <w:t>0.91</w:t>
            </w:r>
          </w:p>
        </w:tc>
      </w:tr>
      <w:tr w:rsidR="005F52AC" w:rsidTr="00484563">
        <w:tc>
          <w:tcPr>
            <w:tcW w:w="671" w:type="pct"/>
          </w:tcPr>
          <w:p w:rsidR="005F52AC" w:rsidRDefault="005F52AC" w:rsidP="00484563">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484563">
        <w:tc>
          <w:tcPr>
            <w:tcW w:w="671" w:type="pct"/>
          </w:tcPr>
          <w:p w:rsidR="005F52AC" w:rsidRDefault="005F52AC" w:rsidP="00484563">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Default="005F52AC" w:rsidP="00484563">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484563">
        <w:tc>
          <w:tcPr>
            <w:tcW w:w="671" w:type="pct"/>
          </w:tcPr>
          <w:p w:rsidR="005F52AC" w:rsidRDefault="005F52AC" w:rsidP="00484563">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NoSpacing"/>
      </w:pPr>
      <w:r w:rsidRPr="00A52357">
        <w:rPr>
          <w:noProof/>
          <w:lang w:val="de-CH" w:eastAsia="zh-TW"/>
        </w:rPr>
        <w:drawing>
          <wp:inline distT="0" distB="0" distL="0" distR="0" wp14:anchorId="3F4A4CE6" wp14:editId="2074DCC3">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Emphasis"/>
        </w:rPr>
        <w:t xml:space="preserve">Figure </w:t>
      </w:r>
      <w:bookmarkStart w:id="4" w:name="f_procedure"/>
      <w:r>
        <w:rPr>
          <w:rStyle w:val="Emphasis"/>
        </w:rPr>
        <w:fldChar w:fldCharType="begin"/>
      </w:r>
      <w:r>
        <w:rPr>
          <w:rStyle w:val="Emphasis"/>
        </w:rPr>
        <w:instrText xml:space="preserve"> SEQ Figure \* MERGEFORMAT </w:instrText>
      </w:r>
      <w:r>
        <w:rPr>
          <w:rStyle w:val="Emphasis"/>
        </w:rPr>
        <w:fldChar w:fldCharType="separate"/>
      </w:r>
      <w:r w:rsidR="00C00C73">
        <w:rPr>
          <w:rStyle w:val="Emphasis"/>
          <w:noProof/>
        </w:rPr>
        <w:t>1</w:t>
      </w:r>
      <w:r>
        <w:rPr>
          <w:rStyle w:val="Emphasis"/>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NoSpacing"/>
      </w:pPr>
      <w:r w:rsidRPr="00A52357">
        <w:rPr>
          <w:noProof/>
          <w:lang w:val="de-CH" w:eastAsia="zh-TW"/>
        </w:rPr>
        <w:lastRenderedPageBreak/>
        <w:drawing>
          <wp:inline distT="0" distB="0" distL="0" distR="0" wp14:anchorId="3E45EA13" wp14:editId="1B31AE73">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5"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C00C73">
        <w:rPr>
          <w:rStyle w:val="Emphasis"/>
          <w:noProof/>
        </w:rPr>
        <w:t>2</w:t>
      </w:r>
      <w:r w:rsidR="00563915">
        <w:rPr>
          <w:rStyle w:val="Emphasis"/>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5BFE398F" wp14:editId="42F2FD3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6" w:name="f_exp1_mds"/>
      <w:r>
        <w:rPr>
          <w:rStyle w:val="Emphasis"/>
        </w:rPr>
        <w:fldChar w:fldCharType="begin"/>
      </w:r>
      <w:r>
        <w:rPr>
          <w:rStyle w:val="Emphasis"/>
        </w:rPr>
        <w:instrText xml:space="preserve"> SEQ Figure \* MERGEFORMAT </w:instrText>
      </w:r>
      <w:r>
        <w:rPr>
          <w:rStyle w:val="Emphasis"/>
        </w:rPr>
        <w:fldChar w:fldCharType="separate"/>
      </w:r>
      <w:r w:rsidR="00C00C73">
        <w:rPr>
          <w:rStyle w:val="Emphasis"/>
          <w:noProof/>
        </w:rPr>
        <w:t>3</w:t>
      </w:r>
      <w:r>
        <w:rPr>
          <w:rStyle w:val="Emphasis"/>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C00C73" w:rsidRPr="00C00C73">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7EE9E246" wp14:editId="6D9AA4D1">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7"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C00C73">
        <w:rPr>
          <w:rStyle w:val="Emphasis"/>
          <w:noProof/>
        </w:rPr>
        <w:t>4</w:t>
      </w:r>
      <w:r w:rsidR="003E5EA3">
        <w:rPr>
          <w:rStyle w:val="Emphasis"/>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0B1DCD6" wp14:editId="2271E1C6">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8" w:name="f_exp2_mds"/>
      <w:r>
        <w:rPr>
          <w:rStyle w:val="Emphasis"/>
        </w:rPr>
        <w:fldChar w:fldCharType="begin"/>
      </w:r>
      <w:r>
        <w:rPr>
          <w:rStyle w:val="Emphasis"/>
        </w:rPr>
        <w:instrText xml:space="preserve"> SEQ Figure \* MERGEFORMAT </w:instrText>
      </w:r>
      <w:r>
        <w:rPr>
          <w:rStyle w:val="Emphasis"/>
        </w:rPr>
        <w:fldChar w:fldCharType="separate"/>
      </w:r>
      <w:r w:rsidR="00C00C73">
        <w:rPr>
          <w:rStyle w:val="Emphasis"/>
          <w:noProof/>
        </w:rPr>
        <w:t>5</w:t>
      </w:r>
      <w:r>
        <w:rPr>
          <w:rStyle w:val="Emphasis"/>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C00C73" w:rsidRPr="00C00C73">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DCB" w:rsidRDefault="004B0DCB">
      <w:pPr>
        <w:spacing w:line="240" w:lineRule="auto"/>
      </w:pPr>
      <w:r>
        <w:separator/>
      </w:r>
    </w:p>
  </w:endnote>
  <w:endnote w:type="continuationSeparator" w:id="0">
    <w:p w:rsidR="004B0DCB" w:rsidRDefault="004B0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DCB" w:rsidRDefault="004B0DCB">
      <w:pPr>
        <w:spacing w:line="240" w:lineRule="auto"/>
      </w:pPr>
      <w:r>
        <w:separator/>
      </w:r>
    </w:p>
  </w:footnote>
  <w:footnote w:type="continuationSeparator" w:id="0">
    <w:p w:rsidR="004B0DCB" w:rsidRDefault="004B0D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4B0DCB">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16F25">
          <w:rPr>
            <w:rStyle w:val="Strong"/>
          </w:rPr>
          <w:t>[Shortened Title up to 50 Characters]</w:t>
        </w:r>
      </w:sdtContent>
    </w:sdt>
    <w:r w:rsidR="00A16F25">
      <w:rPr>
        <w:rStyle w:val="Strong"/>
      </w:rPr>
      <w:ptab w:relativeTo="margin" w:alignment="right" w:leader="none"/>
    </w:r>
    <w:r w:rsidR="00A16F25">
      <w:rPr>
        <w:rStyle w:val="Strong"/>
      </w:rPr>
      <w:fldChar w:fldCharType="begin"/>
    </w:r>
    <w:r w:rsidR="00A16F25">
      <w:rPr>
        <w:rStyle w:val="Strong"/>
      </w:rPr>
      <w:instrText xml:space="preserve"> PAGE   \* MERGEFORMAT </w:instrText>
    </w:r>
    <w:r w:rsidR="00A16F25">
      <w:rPr>
        <w:rStyle w:val="Strong"/>
      </w:rPr>
      <w:fldChar w:fldCharType="separate"/>
    </w:r>
    <w:r w:rsidR="0021196F">
      <w:rPr>
        <w:rStyle w:val="Strong"/>
        <w:noProof/>
      </w:rPr>
      <w:t>20</w:t>
    </w:r>
    <w:r w:rsidR="00A16F25">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A16F25">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1196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2CA9"/>
    <w:rsid w:val="00003BD9"/>
    <w:rsid w:val="000121CD"/>
    <w:rsid w:val="000160B6"/>
    <w:rsid w:val="00016DA2"/>
    <w:rsid w:val="000171C0"/>
    <w:rsid w:val="00020E26"/>
    <w:rsid w:val="000218E5"/>
    <w:rsid w:val="000223FD"/>
    <w:rsid w:val="0003110C"/>
    <w:rsid w:val="000320B3"/>
    <w:rsid w:val="00037619"/>
    <w:rsid w:val="00040BEC"/>
    <w:rsid w:val="00053845"/>
    <w:rsid w:val="000539CC"/>
    <w:rsid w:val="0005400D"/>
    <w:rsid w:val="00056683"/>
    <w:rsid w:val="00060C31"/>
    <w:rsid w:val="00066B3F"/>
    <w:rsid w:val="00070D4B"/>
    <w:rsid w:val="00074F21"/>
    <w:rsid w:val="00080CF5"/>
    <w:rsid w:val="00081211"/>
    <w:rsid w:val="000A15A0"/>
    <w:rsid w:val="000A1D1E"/>
    <w:rsid w:val="000A26D8"/>
    <w:rsid w:val="000A4E5B"/>
    <w:rsid w:val="000A6AA5"/>
    <w:rsid w:val="000B6FE8"/>
    <w:rsid w:val="000C2BA0"/>
    <w:rsid w:val="000C35D1"/>
    <w:rsid w:val="000C4C6D"/>
    <w:rsid w:val="000C731F"/>
    <w:rsid w:val="000D1B7B"/>
    <w:rsid w:val="000E22F7"/>
    <w:rsid w:val="000E2A91"/>
    <w:rsid w:val="000E4B66"/>
    <w:rsid w:val="000F371A"/>
    <w:rsid w:val="000F48CC"/>
    <w:rsid w:val="000F56FA"/>
    <w:rsid w:val="001018BA"/>
    <w:rsid w:val="001049B3"/>
    <w:rsid w:val="0010790C"/>
    <w:rsid w:val="001144BC"/>
    <w:rsid w:val="001164B2"/>
    <w:rsid w:val="001167D5"/>
    <w:rsid w:val="00120099"/>
    <w:rsid w:val="00120F12"/>
    <w:rsid w:val="001270C0"/>
    <w:rsid w:val="001318F1"/>
    <w:rsid w:val="00135E46"/>
    <w:rsid w:val="00136AA7"/>
    <w:rsid w:val="00137C48"/>
    <w:rsid w:val="001410E2"/>
    <w:rsid w:val="00146BFE"/>
    <w:rsid w:val="0015025B"/>
    <w:rsid w:val="001512AC"/>
    <w:rsid w:val="00151E39"/>
    <w:rsid w:val="0015233C"/>
    <w:rsid w:val="001530C0"/>
    <w:rsid w:val="00153F0E"/>
    <w:rsid w:val="00154A71"/>
    <w:rsid w:val="00160D04"/>
    <w:rsid w:val="00162FC9"/>
    <w:rsid w:val="00171A1A"/>
    <w:rsid w:val="001723CE"/>
    <w:rsid w:val="00175767"/>
    <w:rsid w:val="0017640D"/>
    <w:rsid w:val="001771AE"/>
    <w:rsid w:val="00180875"/>
    <w:rsid w:val="00181AA6"/>
    <w:rsid w:val="00184E3F"/>
    <w:rsid w:val="00187899"/>
    <w:rsid w:val="00193FAC"/>
    <w:rsid w:val="001943BC"/>
    <w:rsid w:val="001960FE"/>
    <w:rsid w:val="001A0FC3"/>
    <w:rsid w:val="001A170C"/>
    <w:rsid w:val="001A2E51"/>
    <w:rsid w:val="001A395D"/>
    <w:rsid w:val="001A551E"/>
    <w:rsid w:val="001A76C1"/>
    <w:rsid w:val="001B3054"/>
    <w:rsid w:val="001C0182"/>
    <w:rsid w:val="001C2D1B"/>
    <w:rsid w:val="001C30C4"/>
    <w:rsid w:val="001C45D4"/>
    <w:rsid w:val="001C733B"/>
    <w:rsid w:val="001D5C5A"/>
    <w:rsid w:val="001D5E2A"/>
    <w:rsid w:val="001E3747"/>
    <w:rsid w:val="001E56A0"/>
    <w:rsid w:val="001F48E3"/>
    <w:rsid w:val="002006AB"/>
    <w:rsid w:val="0021196F"/>
    <w:rsid w:val="00214C3D"/>
    <w:rsid w:val="00220226"/>
    <w:rsid w:val="00227D15"/>
    <w:rsid w:val="0023302C"/>
    <w:rsid w:val="00235057"/>
    <w:rsid w:val="00240FA2"/>
    <w:rsid w:val="002412B9"/>
    <w:rsid w:val="002541A9"/>
    <w:rsid w:val="00263F5F"/>
    <w:rsid w:val="002655ED"/>
    <w:rsid w:val="00267272"/>
    <w:rsid w:val="00273F04"/>
    <w:rsid w:val="00277367"/>
    <w:rsid w:val="0027785A"/>
    <w:rsid w:val="00277D05"/>
    <w:rsid w:val="002812CD"/>
    <w:rsid w:val="0028780F"/>
    <w:rsid w:val="00291229"/>
    <w:rsid w:val="0029320F"/>
    <w:rsid w:val="00294B3C"/>
    <w:rsid w:val="002951D5"/>
    <w:rsid w:val="00296D3A"/>
    <w:rsid w:val="002A05F4"/>
    <w:rsid w:val="002A435A"/>
    <w:rsid w:val="002B1D59"/>
    <w:rsid w:val="002C287B"/>
    <w:rsid w:val="002C7A79"/>
    <w:rsid w:val="002D26C0"/>
    <w:rsid w:val="002D759B"/>
    <w:rsid w:val="002E0C55"/>
    <w:rsid w:val="002E0EB3"/>
    <w:rsid w:val="002E20A3"/>
    <w:rsid w:val="002E32B0"/>
    <w:rsid w:val="002E42F7"/>
    <w:rsid w:val="002E4806"/>
    <w:rsid w:val="002F04CB"/>
    <w:rsid w:val="002F3B64"/>
    <w:rsid w:val="002F6EE2"/>
    <w:rsid w:val="00302F1C"/>
    <w:rsid w:val="003038DC"/>
    <w:rsid w:val="00304755"/>
    <w:rsid w:val="0030590D"/>
    <w:rsid w:val="00307FAC"/>
    <w:rsid w:val="0031081F"/>
    <w:rsid w:val="00311125"/>
    <w:rsid w:val="00311B57"/>
    <w:rsid w:val="00320451"/>
    <w:rsid w:val="00322476"/>
    <w:rsid w:val="00324137"/>
    <w:rsid w:val="00331A40"/>
    <w:rsid w:val="003334BC"/>
    <w:rsid w:val="00334956"/>
    <w:rsid w:val="003413AB"/>
    <w:rsid w:val="003473C5"/>
    <w:rsid w:val="00350680"/>
    <w:rsid w:val="0035131D"/>
    <w:rsid w:val="0035188D"/>
    <w:rsid w:val="00352D8D"/>
    <w:rsid w:val="00353199"/>
    <w:rsid w:val="003544D6"/>
    <w:rsid w:val="00354538"/>
    <w:rsid w:val="0036210B"/>
    <w:rsid w:val="00364FA2"/>
    <w:rsid w:val="00365E11"/>
    <w:rsid w:val="00366069"/>
    <w:rsid w:val="00372FB5"/>
    <w:rsid w:val="0038127A"/>
    <w:rsid w:val="003815D2"/>
    <w:rsid w:val="003848CF"/>
    <w:rsid w:val="00390E3B"/>
    <w:rsid w:val="00393A44"/>
    <w:rsid w:val="003948F6"/>
    <w:rsid w:val="003A1590"/>
    <w:rsid w:val="003A4782"/>
    <w:rsid w:val="003A543E"/>
    <w:rsid w:val="003A5804"/>
    <w:rsid w:val="003A6FB5"/>
    <w:rsid w:val="003A7CA1"/>
    <w:rsid w:val="003B0D45"/>
    <w:rsid w:val="003B2B6F"/>
    <w:rsid w:val="003B7DC3"/>
    <w:rsid w:val="003C05CA"/>
    <w:rsid w:val="003C25B3"/>
    <w:rsid w:val="003D44EA"/>
    <w:rsid w:val="003D5E81"/>
    <w:rsid w:val="003D6297"/>
    <w:rsid w:val="003D6CCE"/>
    <w:rsid w:val="003E5EA3"/>
    <w:rsid w:val="003E7DBA"/>
    <w:rsid w:val="003F2307"/>
    <w:rsid w:val="003F3AF2"/>
    <w:rsid w:val="003F64FF"/>
    <w:rsid w:val="00402788"/>
    <w:rsid w:val="00405D3B"/>
    <w:rsid w:val="00407649"/>
    <w:rsid w:val="00414191"/>
    <w:rsid w:val="004141C0"/>
    <w:rsid w:val="00415B84"/>
    <w:rsid w:val="00417DD3"/>
    <w:rsid w:val="0042712C"/>
    <w:rsid w:val="00427625"/>
    <w:rsid w:val="00431F71"/>
    <w:rsid w:val="00437404"/>
    <w:rsid w:val="00444B5E"/>
    <w:rsid w:val="004475A8"/>
    <w:rsid w:val="00454E84"/>
    <w:rsid w:val="00464A8F"/>
    <w:rsid w:val="00466008"/>
    <w:rsid w:val="00484563"/>
    <w:rsid w:val="00486535"/>
    <w:rsid w:val="00487EBB"/>
    <w:rsid w:val="004925E4"/>
    <w:rsid w:val="0049644F"/>
    <w:rsid w:val="0049710E"/>
    <w:rsid w:val="004A01C0"/>
    <w:rsid w:val="004A44B5"/>
    <w:rsid w:val="004A5DD1"/>
    <w:rsid w:val="004A6FD1"/>
    <w:rsid w:val="004B0D49"/>
    <w:rsid w:val="004B0DCB"/>
    <w:rsid w:val="004B0FD7"/>
    <w:rsid w:val="004B18F8"/>
    <w:rsid w:val="004C0020"/>
    <w:rsid w:val="004C4F9B"/>
    <w:rsid w:val="004C5D18"/>
    <w:rsid w:val="004C7312"/>
    <w:rsid w:val="004D0D26"/>
    <w:rsid w:val="004D359B"/>
    <w:rsid w:val="004D41DC"/>
    <w:rsid w:val="004D777A"/>
    <w:rsid w:val="004E02CB"/>
    <w:rsid w:val="004E62F9"/>
    <w:rsid w:val="004F0ADF"/>
    <w:rsid w:val="004F1415"/>
    <w:rsid w:val="004F29A0"/>
    <w:rsid w:val="004F41F7"/>
    <w:rsid w:val="004F48A1"/>
    <w:rsid w:val="004F4BB9"/>
    <w:rsid w:val="00510BE3"/>
    <w:rsid w:val="00510C5F"/>
    <w:rsid w:val="00516957"/>
    <w:rsid w:val="00526747"/>
    <w:rsid w:val="00527DB6"/>
    <w:rsid w:val="005319B1"/>
    <w:rsid w:val="00532C0C"/>
    <w:rsid w:val="005432D5"/>
    <w:rsid w:val="00550D58"/>
    <w:rsid w:val="0055382A"/>
    <w:rsid w:val="00555F14"/>
    <w:rsid w:val="005562D2"/>
    <w:rsid w:val="00557FEF"/>
    <w:rsid w:val="00560941"/>
    <w:rsid w:val="005613A3"/>
    <w:rsid w:val="00563915"/>
    <w:rsid w:val="005675B1"/>
    <w:rsid w:val="00570703"/>
    <w:rsid w:val="005744FD"/>
    <w:rsid w:val="005836FD"/>
    <w:rsid w:val="00594EF5"/>
    <w:rsid w:val="005965B6"/>
    <w:rsid w:val="00597074"/>
    <w:rsid w:val="005A0477"/>
    <w:rsid w:val="005A0DD3"/>
    <w:rsid w:val="005A7DF1"/>
    <w:rsid w:val="005B1FB7"/>
    <w:rsid w:val="005B2892"/>
    <w:rsid w:val="005C0C7C"/>
    <w:rsid w:val="005C2E69"/>
    <w:rsid w:val="005C2F69"/>
    <w:rsid w:val="005C2FF6"/>
    <w:rsid w:val="005D3350"/>
    <w:rsid w:val="005D4F0B"/>
    <w:rsid w:val="005D71AD"/>
    <w:rsid w:val="005E2BED"/>
    <w:rsid w:val="005E32FD"/>
    <w:rsid w:val="005F407E"/>
    <w:rsid w:val="005F4604"/>
    <w:rsid w:val="005F52AC"/>
    <w:rsid w:val="00600D45"/>
    <w:rsid w:val="00602E99"/>
    <w:rsid w:val="0060410F"/>
    <w:rsid w:val="0061149F"/>
    <w:rsid w:val="006119BA"/>
    <w:rsid w:val="006143D8"/>
    <w:rsid w:val="00624DC0"/>
    <w:rsid w:val="00627BD0"/>
    <w:rsid w:val="00631067"/>
    <w:rsid w:val="00632ACF"/>
    <w:rsid w:val="00632E5A"/>
    <w:rsid w:val="00635F38"/>
    <w:rsid w:val="00637AF9"/>
    <w:rsid w:val="00640194"/>
    <w:rsid w:val="00642E41"/>
    <w:rsid w:val="00650372"/>
    <w:rsid w:val="006564A6"/>
    <w:rsid w:val="006608BF"/>
    <w:rsid w:val="006610EF"/>
    <w:rsid w:val="0066181F"/>
    <w:rsid w:val="00663DD1"/>
    <w:rsid w:val="00666BEC"/>
    <w:rsid w:val="00667313"/>
    <w:rsid w:val="006679E0"/>
    <w:rsid w:val="00670F26"/>
    <w:rsid w:val="00672D43"/>
    <w:rsid w:val="00677D4F"/>
    <w:rsid w:val="006812B3"/>
    <w:rsid w:val="00687D46"/>
    <w:rsid w:val="00690838"/>
    <w:rsid w:val="00697F02"/>
    <w:rsid w:val="006A7D33"/>
    <w:rsid w:val="006C0098"/>
    <w:rsid w:val="006C4FFC"/>
    <w:rsid w:val="006D25E5"/>
    <w:rsid w:val="006E0133"/>
    <w:rsid w:val="006E0E18"/>
    <w:rsid w:val="006E112F"/>
    <w:rsid w:val="006E17F1"/>
    <w:rsid w:val="006E2E2A"/>
    <w:rsid w:val="006E3575"/>
    <w:rsid w:val="006E3B0F"/>
    <w:rsid w:val="006E6CA0"/>
    <w:rsid w:val="006F03A8"/>
    <w:rsid w:val="006F1222"/>
    <w:rsid w:val="006F17AD"/>
    <w:rsid w:val="006F52F9"/>
    <w:rsid w:val="006F6F2E"/>
    <w:rsid w:val="00704CB1"/>
    <w:rsid w:val="00706CED"/>
    <w:rsid w:val="00707A58"/>
    <w:rsid w:val="007118AC"/>
    <w:rsid w:val="00713257"/>
    <w:rsid w:val="007133CA"/>
    <w:rsid w:val="00714687"/>
    <w:rsid w:val="0072153E"/>
    <w:rsid w:val="00722D76"/>
    <w:rsid w:val="00723345"/>
    <w:rsid w:val="00732BE0"/>
    <w:rsid w:val="00734F42"/>
    <w:rsid w:val="007379D3"/>
    <w:rsid w:val="0074039E"/>
    <w:rsid w:val="0074151B"/>
    <w:rsid w:val="00741795"/>
    <w:rsid w:val="00741B04"/>
    <w:rsid w:val="0074535A"/>
    <w:rsid w:val="00745DC6"/>
    <w:rsid w:val="007551C7"/>
    <w:rsid w:val="007566D5"/>
    <w:rsid w:val="00762CA3"/>
    <w:rsid w:val="007770D1"/>
    <w:rsid w:val="00781CCA"/>
    <w:rsid w:val="0078477F"/>
    <w:rsid w:val="00787150"/>
    <w:rsid w:val="0079077A"/>
    <w:rsid w:val="0079244E"/>
    <w:rsid w:val="00792FC8"/>
    <w:rsid w:val="00794FE9"/>
    <w:rsid w:val="00795BD9"/>
    <w:rsid w:val="007A6D29"/>
    <w:rsid w:val="007B40CE"/>
    <w:rsid w:val="007B5363"/>
    <w:rsid w:val="007B7D3B"/>
    <w:rsid w:val="007C4A28"/>
    <w:rsid w:val="007D0C11"/>
    <w:rsid w:val="007D10C3"/>
    <w:rsid w:val="007D4E19"/>
    <w:rsid w:val="007E18DF"/>
    <w:rsid w:val="007E3D3D"/>
    <w:rsid w:val="007F0355"/>
    <w:rsid w:val="007F0BD3"/>
    <w:rsid w:val="007F4133"/>
    <w:rsid w:val="007F5882"/>
    <w:rsid w:val="008003E9"/>
    <w:rsid w:val="008005D3"/>
    <w:rsid w:val="00802752"/>
    <w:rsid w:val="008032DE"/>
    <w:rsid w:val="00805C25"/>
    <w:rsid w:val="00806896"/>
    <w:rsid w:val="00806C4E"/>
    <w:rsid w:val="00806DB4"/>
    <w:rsid w:val="008121BC"/>
    <w:rsid w:val="00812FBF"/>
    <w:rsid w:val="008136A0"/>
    <w:rsid w:val="008201FC"/>
    <w:rsid w:val="00821407"/>
    <w:rsid w:val="0082460D"/>
    <w:rsid w:val="008303BE"/>
    <w:rsid w:val="0083195B"/>
    <w:rsid w:val="00833FB4"/>
    <w:rsid w:val="00834ABD"/>
    <w:rsid w:val="00835612"/>
    <w:rsid w:val="008422F3"/>
    <w:rsid w:val="00843620"/>
    <w:rsid w:val="00857526"/>
    <w:rsid w:val="0086546A"/>
    <w:rsid w:val="00865E91"/>
    <w:rsid w:val="008678D6"/>
    <w:rsid w:val="008706F0"/>
    <w:rsid w:val="00872008"/>
    <w:rsid w:val="00873076"/>
    <w:rsid w:val="00875274"/>
    <w:rsid w:val="00875C3A"/>
    <w:rsid w:val="00876274"/>
    <w:rsid w:val="00877D7D"/>
    <w:rsid w:val="008806D2"/>
    <w:rsid w:val="00886A5D"/>
    <w:rsid w:val="008922A7"/>
    <w:rsid w:val="00893575"/>
    <w:rsid w:val="00895D7E"/>
    <w:rsid w:val="008A40A4"/>
    <w:rsid w:val="008A418E"/>
    <w:rsid w:val="008A44A7"/>
    <w:rsid w:val="008A66C1"/>
    <w:rsid w:val="008A70D6"/>
    <w:rsid w:val="008A7968"/>
    <w:rsid w:val="008A7983"/>
    <w:rsid w:val="008B3AC5"/>
    <w:rsid w:val="008E0415"/>
    <w:rsid w:val="008E39F3"/>
    <w:rsid w:val="008F114E"/>
    <w:rsid w:val="008F12B9"/>
    <w:rsid w:val="008F3EBE"/>
    <w:rsid w:val="008F485E"/>
    <w:rsid w:val="00900E5C"/>
    <w:rsid w:val="00900FD7"/>
    <w:rsid w:val="00906081"/>
    <w:rsid w:val="009143A1"/>
    <w:rsid w:val="00916F9C"/>
    <w:rsid w:val="00917AC5"/>
    <w:rsid w:val="00920B95"/>
    <w:rsid w:val="00921AAA"/>
    <w:rsid w:val="00933DAD"/>
    <w:rsid w:val="0093481C"/>
    <w:rsid w:val="00935896"/>
    <w:rsid w:val="00940DFC"/>
    <w:rsid w:val="009427D4"/>
    <w:rsid w:val="009454FE"/>
    <w:rsid w:val="00951C5F"/>
    <w:rsid w:val="00952AB9"/>
    <w:rsid w:val="00953EA3"/>
    <w:rsid w:val="00954BAC"/>
    <w:rsid w:val="00962099"/>
    <w:rsid w:val="00962198"/>
    <w:rsid w:val="009622D1"/>
    <w:rsid w:val="00965D60"/>
    <w:rsid w:val="009662EC"/>
    <w:rsid w:val="00971392"/>
    <w:rsid w:val="00971FA5"/>
    <w:rsid w:val="00972014"/>
    <w:rsid w:val="009735AB"/>
    <w:rsid w:val="00982576"/>
    <w:rsid w:val="00982D53"/>
    <w:rsid w:val="00985B25"/>
    <w:rsid w:val="00987B26"/>
    <w:rsid w:val="00992128"/>
    <w:rsid w:val="00995C7A"/>
    <w:rsid w:val="00997C09"/>
    <w:rsid w:val="009A1B54"/>
    <w:rsid w:val="009A660A"/>
    <w:rsid w:val="009B1B37"/>
    <w:rsid w:val="009B2271"/>
    <w:rsid w:val="009B57D4"/>
    <w:rsid w:val="009B6A84"/>
    <w:rsid w:val="009C0037"/>
    <w:rsid w:val="009C09D6"/>
    <w:rsid w:val="009C738C"/>
    <w:rsid w:val="009D09B1"/>
    <w:rsid w:val="009D30CB"/>
    <w:rsid w:val="009E4098"/>
    <w:rsid w:val="009E529A"/>
    <w:rsid w:val="009E53F2"/>
    <w:rsid w:val="009E5476"/>
    <w:rsid w:val="009F4B35"/>
    <w:rsid w:val="00A017D8"/>
    <w:rsid w:val="00A05885"/>
    <w:rsid w:val="00A16F25"/>
    <w:rsid w:val="00A17F2F"/>
    <w:rsid w:val="00A23C34"/>
    <w:rsid w:val="00A269CA"/>
    <w:rsid w:val="00A359F5"/>
    <w:rsid w:val="00A40182"/>
    <w:rsid w:val="00A42F01"/>
    <w:rsid w:val="00A42FD0"/>
    <w:rsid w:val="00A443CC"/>
    <w:rsid w:val="00A46377"/>
    <w:rsid w:val="00A52357"/>
    <w:rsid w:val="00A55D39"/>
    <w:rsid w:val="00A6101A"/>
    <w:rsid w:val="00A6269B"/>
    <w:rsid w:val="00A6347A"/>
    <w:rsid w:val="00A67EB6"/>
    <w:rsid w:val="00A92E51"/>
    <w:rsid w:val="00A9358E"/>
    <w:rsid w:val="00A95F30"/>
    <w:rsid w:val="00AA655D"/>
    <w:rsid w:val="00AA6790"/>
    <w:rsid w:val="00AB1C8A"/>
    <w:rsid w:val="00AD0A51"/>
    <w:rsid w:val="00AD293D"/>
    <w:rsid w:val="00AD5E4C"/>
    <w:rsid w:val="00AD6705"/>
    <w:rsid w:val="00AD7A7F"/>
    <w:rsid w:val="00AE0F46"/>
    <w:rsid w:val="00AE11FD"/>
    <w:rsid w:val="00AE2E7D"/>
    <w:rsid w:val="00AE49F2"/>
    <w:rsid w:val="00AE697B"/>
    <w:rsid w:val="00AF19E6"/>
    <w:rsid w:val="00AF2B34"/>
    <w:rsid w:val="00AF2E1A"/>
    <w:rsid w:val="00AF4A78"/>
    <w:rsid w:val="00AF5107"/>
    <w:rsid w:val="00AF55E5"/>
    <w:rsid w:val="00AF5B98"/>
    <w:rsid w:val="00B00946"/>
    <w:rsid w:val="00B0098F"/>
    <w:rsid w:val="00B02BEE"/>
    <w:rsid w:val="00B12E73"/>
    <w:rsid w:val="00B1674D"/>
    <w:rsid w:val="00B170FF"/>
    <w:rsid w:val="00B2226D"/>
    <w:rsid w:val="00B2411F"/>
    <w:rsid w:val="00B27DC6"/>
    <w:rsid w:val="00B32632"/>
    <w:rsid w:val="00B462A9"/>
    <w:rsid w:val="00B4773A"/>
    <w:rsid w:val="00B50063"/>
    <w:rsid w:val="00B534B2"/>
    <w:rsid w:val="00B53F02"/>
    <w:rsid w:val="00B55347"/>
    <w:rsid w:val="00B55C50"/>
    <w:rsid w:val="00B568C4"/>
    <w:rsid w:val="00B62461"/>
    <w:rsid w:val="00B66913"/>
    <w:rsid w:val="00B73E29"/>
    <w:rsid w:val="00B751D5"/>
    <w:rsid w:val="00B7555E"/>
    <w:rsid w:val="00B825A4"/>
    <w:rsid w:val="00B868AD"/>
    <w:rsid w:val="00B90426"/>
    <w:rsid w:val="00B90D50"/>
    <w:rsid w:val="00B939E6"/>
    <w:rsid w:val="00B95951"/>
    <w:rsid w:val="00BA2E1B"/>
    <w:rsid w:val="00BA3089"/>
    <w:rsid w:val="00BA4284"/>
    <w:rsid w:val="00BB3A52"/>
    <w:rsid w:val="00BB4972"/>
    <w:rsid w:val="00BC6F87"/>
    <w:rsid w:val="00BC7CAD"/>
    <w:rsid w:val="00BD1C34"/>
    <w:rsid w:val="00BD5701"/>
    <w:rsid w:val="00BD599C"/>
    <w:rsid w:val="00BE3703"/>
    <w:rsid w:val="00BE4189"/>
    <w:rsid w:val="00BE5D42"/>
    <w:rsid w:val="00BF469E"/>
    <w:rsid w:val="00BF705D"/>
    <w:rsid w:val="00BF7A7C"/>
    <w:rsid w:val="00C005E0"/>
    <w:rsid w:val="00C00C73"/>
    <w:rsid w:val="00C10684"/>
    <w:rsid w:val="00C1100B"/>
    <w:rsid w:val="00C139DC"/>
    <w:rsid w:val="00C240CE"/>
    <w:rsid w:val="00C31AF0"/>
    <w:rsid w:val="00C35806"/>
    <w:rsid w:val="00C40319"/>
    <w:rsid w:val="00C41B0B"/>
    <w:rsid w:val="00C46129"/>
    <w:rsid w:val="00C46880"/>
    <w:rsid w:val="00C47AA1"/>
    <w:rsid w:val="00C52A62"/>
    <w:rsid w:val="00C530F8"/>
    <w:rsid w:val="00C5688D"/>
    <w:rsid w:val="00C61511"/>
    <w:rsid w:val="00C617A7"/>
    <w:rsid w:val="00C63343"/>
    <w:rsid w:val="00C802EE"/>
    <w:rsid w:val="00C84D13"/>
    <w:rsid w:val="00C87506"/>
    <w:rsid w:val="00C97884"/>
    <w:rsid w:val="00CA1BEB"/>
    <w:rsid w:val="00CA2E22"/>
    <w:rsid w:val="00CA7869"/>
    <w:rsid w:val="00CA793B"/>
    <w:rsid w:val="00CB0F83"/>
    <w:rsid w:val="00CB1BA5"/>
    <w:rsid w:val="00CB1FD5"/>
    <w:rsid w:val="00CC1E6D"/>
    <w:rsid w:val="00CC4F09"/>
    <w:rsid w:val="00CC7910"/>
    <w:rsid w:val="00CD10FB"/>
    <w:rsid w:val="00CD3115"/>
    <w:rsid w:val="00CD34BC"/>
    <w:rsid w:val="00CD4B9B"/>
    <w:rsid w:val="00CE0C49"/>
    <w:rsid w:val="00CE34A0"/>
    <w:rsid w:val="00CE575F"/>
    <w:rsid w:val="00CF25E4"/>
    <w:rsid w:val="00CF2822"/>
    <w:rsid w:val="00CF2AF6"/>
    <w:rsid w:val="00CF7E8C"/>
    <w:rsid w:val="00D00FE9"/>
    <w:rsid w:val="00D020EA"/>
    <w:rsid w:val="00D0302D"/>
    <w:rsid w:val="00D10F72"/>
    <w:rsid w:val="00D1197C"/>
    <w:rsid w:val="00D268BC"/>
    <w:rsid w:val="00D27A72"/>
    <w:rsid w:val="00D34079"/>
    <w:rsid w:val="00D37113"/>
    <w:rsid w:val="00D37705"/>
    <w:rsid w:val="00D40019"/>
    <w:rsid w:val="00D41E33"/>
    <w:rsid w:val="00D44182"/>
    <w:rsid w:val="00D47C49"/>
    <w:rsid w:val="00D575EF"/>
    <w:rsid w:val="00D6377F"/>
    <w:rsid w:val="00D65D31"/>
    <w:rsid w:val="00D71D3A"/>
    <w:rsid w:val="00D7374C"/>
    <w:rsid w:val="00D74430"/>
    <w:rsid w:val="00D746AE"/>
    <w:rsid w:val="00D74F71"/>
    <w:rsid w:val="00D76058"/>
    <w:rsid w:val="00D801EE"/>
    <w:rsid w:val="00D857F8"/>
    <w:rsid w:val="00D90165"/>
    <w:rsid w:val="00D93C55"/>
    <w:rsid w:val="00D962D6"/>
    <w:rsid w:val="00DA10F5"/>
    <w:rsid w:val="00DA23FB"/>
    <w:rsid w:val="00DA778A"/>
    <w:rsid w:val="00DA779E"/>
    <w:rsid w:val="00DB0356"/>
    <w:rsid w:val="00DB11C8"/>
    <w:rsid w:val="00DB15BC"/>
    <w:rsid w:val="00DB2A41"/>
    <w:rsid w:val="00DB2B56"/>
    <w:rsid w:val="00DB4745"/>
    <w:rsid w:val="00DB673B"/>
    <w:rsid w:val="00DC0DF1"/>
    <w:rsid w:val="00DC7AED"/>
    <w:rsid w:val="00DD100B"/>
    <w:rsid w:val="00DD16A0"/>
    <w:rsid w:val="00DD26DE"/>
    <w:rsid w:val="00DD3B98"/>
    <w:rsid w:val="00DD4009"/>
    <w:rsid w:val="00DD544F"/>
    <w:rsid w:val="00DD599D"/>
    <w:rsid w:val="00DD79A3"/>
    <w:rsid w:val="00DE1981"/>
    <w:rsid w:val="00DE64D9"/>
    <w:rsid w:val="00DE6A90"/>
    <w:rsid w:val="00DF57FD"/>
    <w:rsid w:val="00DF7EFA"/>
    <w:rsid w:val="00E0437D"/>
    <w:rsid w:val="00E10AAE"/>
    <w:rsid w:val="00E1269C"/>
    <w:rsid w:val="00E12B07"/>
    <w:rsid w:val="00E22F66"/>
    <w:rsid w:val="00E2413D"/>
    <w:rsid w:val="00E247F3"/>
    <w:rsid w:val="00E30EE5"/>
    <w:rsid w:val="00E31ABE"/>
    <w:rsid w:val="00E42F44"/>
    <w:rsid w:val="00E435D1"/>
    <w:rsid w:val="00E4423E"/>
    <w:rsid w:val="00E445FB"/>
    <w:rsid w:val="00E45B74"/>
    <w:rsid w:val="00E51C22"/>
    <w:rsid w:val="00E53766"/>
    <w:rsid w:val="00E5442F"/>
    <w:rsid w:val="00E57D5D"/>
    <w:rsid w:val="00E63845"/>
    <w:rsid w:val="00E6691D"/>
    <w:rsid w:val="00E70204"/>
    <w:rsid w:val="00E7309C"/>
    <w:rsid w:val="00E750A5"/>
    <w:rsid w:val="00E76849"/>
    <w:rsid w:val="00E77997"/>
    <w:rsid w:val="00E82DDB"/>
    <w:rsid w:val="00E83E77"/>
    <w:rsid w:val="00E85523"/>
    <w:rsid w:val="00E947AD"/>
    <w:rsid w:val="00E96960"/>
    <w:rsid w:val="00E97BB5"/>
    <w:rsid w:val="00EB1CAE"/>
    <w:rsid w:val="00EB2202"/>
    <w:rsid w:val="00EB3F01"/>
    <w:rsid w:val="00EC223F"/>
    <w:rsid w:val="00EC523B"/>
    <w:rsid w:val="00ED0F4B"/>
    <w:rsid w:val="00ED168F"/>
    <w:rsid w:val="00ED2C2D"/>
    <w:rsid w:val="00ED39E1"/>
    <w:rsid w:val="00ED5A67"/>
    <w:rsid w:val="00EE5C71"/>
    <w:rsid w:val="00EF1F3C"/>
    <w:rsid w:val="00EF2754"/>
    <w:rsid w:val="00F01F9F"/>
    <w:rsid w:val="00F02C90"/>
    <w:rsid w:val="00F04FF2"/>
    <w:rsid w:val="00F05ADD"/>
    <w:rsid w:val="00F0755F"/>
    <w:rsid w:val="00F12E0F"/>
    <w:rsid w:val="00F1382E"/>
    <w:rsid w:val="00F138F3"/>
    <w:rsid w:val="00F14048"/>
    <w:rsid w:val="00F14C6C"/>
    <w:rsid w:val="00F168F2"/>
    <w:rsid w:val="00F220D0"/>
    <w:rsid w:val="00F22388"/>
    <w:rsid w:val="00F275C3"/>
    <w:rsid w:val="00F35E9D"/>
    <w:rsid w:val="00F373F2"/>
    <w:rsid w:val="00F4465A"/>
    <w:rsid w:val="00F45040"/>
    <w:rsid w:val="00F53C8A"/>
    <w:rsid w:val="00F57077"/>
    <w:rsid w:val="00F652CE"/>
    <w:rsid w:val="00F660F5"/>
    <w:rsid w:val="00F67A34"/>
    <w:rsid w:val="00F72BC7"/>
    <w:rsid w:val="00F74B18"/>
    <w:rsid w:val="00F7668F"/>
    <w:rsid w:val="00F779F8"/>
    <w:rsid w:val="00F81FB3"/>
    <w:rsid w:val="00F834C3"/>
    <w:rsid w:val="00F8416B"/>
    <w:rsid w:val="00F84315"/>
    <w:rsid w:val="00F86B6B"/>
    <w:rsid w:val="00F87882"/>
    <w:rsid w:val="00F90354"/>
    <w:rsid w:val="00F91191"/>
    <w:rsid w:val="00FA13D7"/>
    <w:rsid w:val="00FA6B1F"/>
    <w:rsid w:val="00FB0507"/>
    <w:rsid w:val="00FB07DD"/>
    <w:rsid w:val="00FC7CD4"/>
    <w:rsid w:val="00FD34DB"/>
    <w:rsid w:val="00FD51E1"/>
    <w:rsid w:val="00FD576E"/>
    <w:rsid w:val="00FE0141"/>
    <w:rsid w:val="00FE199B"/>
    <w:rsid w:val="00FE284A"/>
    <w:rsid w:val="00FE2A17"/>
    <w:rsid w:val="00FE4F6C"/>
    <w:rsid w:val="00FE51F9"/>
    <w:rsid w:val="00FF6D7E"/>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432CE"/>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C1614"/>
    <w:rsid w:val="002F2B64"/>
    <w:rsid w:val="002F6203"/>
    <w:rsid w:val="00377558"/>
    <w:rsid w:val="005559F9"/>
    <w:rsid w:val="005D4D7B"/>
    <w:rsid w:val="005F7313"/>
    <w:rsid w:val="00646F8F"/>
    <w:rsid w:val="007139FF"/>
    <w:rsid w:val="007D6ABD"/>
    <w:rsid w:val="009C258B"/>
    <w:rsid w:val="00A012F6"/>
    <w:rsid w:val="00A85BD9"/>
    <w:rsid w:val="00AD32AC"/>
    <w:rsid w:val="00B302B2"/>
    <w:rsid w:val="00B72F5A"/>
    <w:rsid w:val="00BE63CF"/>
    <w:rsid w:val="00C33BE6"/>
    <w:rsid w:val="00C6793D"/>
    <w:rsid w:val="00CB3D25"/>
    <w:rsid w:val="00CC00C5"/>
    <w:rsid w:val="00CC1439"/>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ABD"/>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41322382-BEB4-47A5-8A8A-3EA3F4450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6650</Words>
  <Characters>41901</Characters>
  <Application>Microsoft Office Word</Application>
  <DocSecurity>0</DocSecurity>
  <Lines>349</Lines>
  <Paragraphs>96</Paragraphs>
  <ScaleCrop>false</ScaleCrop>
  <HeadingPairs>
    <vt:vector size="2" baseType="variant">
      <vt:variant>
        <vt:lpstr>Title</vt:lpstr>
      </vt:variant>
      <vt:variant>
        <vt:i4>1</vt:i4>
      </vt:variant>
    </vt:vector>
  </HeadingPairs>
  <TitlesOfParts>
    <vt:vector size="1" baseType="lpstr">
      <vt:lpstr>The Multi-Items Rearrangement Task: a Faster and Reliable Method for Acquiring Similarity Matrix</vt:lpstr>
    </vt:vector>
  </TitlesOfParts>
  <Company/>
  <LinksUpToDate>false</LinksUpToDate>
  <CharactersWithSpaces>48455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Multi-Items Rearrangement Task: a Faster and Reliable Method for Acquiring Similarity Matrix</dc:title>
  <dc:subject/>
  <dc:creator>Hsuan-Yu Lin</dc:creator>
  <cp:keywords/>
  <dc:description/>
  <cp:lastModifiedBy>Hsuan-Yu Lin</cp:lastModifiedBy>
  <cp:revision>655</cp:revision>
  <dcterms:created xsi:type="dcterms:W3CDTF">2017-05-15T13:44:00Z</dcterms:created>
  <dcterms:modified xsi:type="dcterms:W3CDTF">2017-06-22T15:08:00Z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zotero-version="4.0.29.21"&gt;&lt;session id="nN32K1Pc"/&gt;&lt;style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