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81F" w:rsidRDefault="00FD51E1">
      <w:pPr>
        <w:pStyle w:val="Title"/>
      </w:pPr>
      <w:sdt>
        <w:sdtPr>
          <w:alias w:val="Title"/>
          <w:tag w:val=""/>
          <w:id w:val="72635111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736158886"/>
        <w:placeholder>
          <w:docPart w:val="7462A0ECD7654340A284DE74AD7C6A1E"/>
        </w:placeholder>
        <w:temporary/>
        <w:showingPlcHdr/>
        <w15:appearance w15:val="hidden"/>
        <w:text/>
      </w:sdtPr>
      <w:sdtEndPr/>
      <w:sdtContent>
        <w:p w:rsidR="0031081F" w:rsidRDefault="00D74F71">
          <w:pPr>
            <w:pStyle w:val="Title2"/>
          </w:pPr>
          <w:r>
            <w:t>[Author Name(s), First M. Last, Omit Titles and Degrees]</w:t>
          </w:r>
        </w:p>
      </w:sdtContent>
    </w:sdt>
    <w:sdt>
      <w:sdtPr>
        <w:id w:val="-1771543088"/>
        <w:placeholder>
          <w:docPart w:val="B5D18517A8F044D7B0764BACBCD77BFC"/>
        </w:placeholder>
        <w:temporary/>
        <w:showingPlcHdr/>
        <w15:appearance w15:val="hidden"/>
        <w:text/>
      </w:sdtPr>
      <w:sdtEndPr/>
      <w:sdtContent>
        <w:p w:rsidR="0031081F" w:rsidRDefault="00D74F71">
          <w:pPr>
            <w:pStyle w:val="Title2"/>
          </w:pPr>
          <w:r>
            <w:t>[Institutional Affiliation(s)]</w:t>
          </w:r>
        </w:p>
      </w:sdtContent>
    </w:sdt>
    <w:p w:rsidR="0031081F" w:rsidRDefault="00D74F71">
      <w:pPr>
        <w:pStyle w:val="Title"/>
      </w:pPr>
      <w:r>
        <w:t>Author Note</w:t>
      </w:r>
    </w:p>
    <w:sdt>
      <w:sdtPr>
        <w:id w:val="716785028"/>
        <w:placeholder>
          <w:docPart w:val="543A665B58354124B15DEF6A197EC992"/>
        </w:placeholder>
        <w:temporary/>
        <w:showingPlcHdr/>
        <w15:appearance w15:val="hidden"/>
        <w:text/>
      </w:sdtPr>
      <w:sdtEndPr/>
      <w:sdtContent>
        <w:p w:rsidR="0031081F" w:rsidRDefault="00D74F71">
          <w:r>
            <w:t>[Include any grant/funding information and a complete correspondence address.]</w:t>
          </w:r>
        </w:p>
      </w:sdtContent>
    </w:sdt>
    <w:p w:rsidR="0031081F" w:rsidRDefault="00D74F71">
      <w:pPr>
        <w:pStyle w:val="SectionTitle"/>
      </w:pPr>
      <w:r>
        <w:lastRenderedPageBreak/>
        <w:t>Abstract</w:t>
      </w:r>
    </w:p>
    <w:sdt>
      <w:sdtPr>
        <w:id w:val="-1399134618"/>
        <w:placeholder>
          <w:docPart w:val="39EBFBD4B6714E6397FBEE0077613752"/>
        </w:placeholder>
        <w:temporary/>
        <w:showingPlcHdr/>
        <w15:appearance w15:val="hidden"/>
        <w:text/>
      </w:sdtPr>
      <w:sdtEndPr/>
      <w:sdtContent>
        <w:p w:rsidR="0031081F" w:rsidRDefault="00D74F71">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31081F" w:rsidRDefault="00D74F71">
      <w:r>
        <w:rPr>
          <w:rStyle w:val="Emphasis"/>
        </w:rPr>
        <w:t>Keywords</w:t>
      </w:r>
      <w:r>
        <w:t xml:space="preserve">: </w:t>
      </w:r>
      <w:sdt>
        <w:sdtPr>
          <w:id w:val="1136374635"/>
          <w:placeholder>
            <w:docPart w:val="CAB700F33A8C46D193096E271B1C0CB3"/>
          </w:placeholder>
          <w:temporary/>
          <w:showingPlcHdr/>
          <w15:appearance w15:val="hidden"/>
          <w:text/>
        </w:sdtPr>
        <w:sdtEndPr/>
        <w:sdtContent>
          <w:r>
            <w:t>[Click here to add keywords.]</w:t>
          </w:r>
        </w:sdtContent>
      </w:sdt>
    </w:p>
    <w:p w:rsidR="0031081F" w:rsidRDefault="00FD51E1">
      <w:pPr>
        <w:pStyle w:val="SectionTitle"/>
      </w:pPr>
      <w:sdt>
        <w:sdtPr>
          <w:alias w:val="Title"/>
          <w:tag w:val=""/>
          <w:id w:val="984196707"/>
          <w:placeholder>
            <w:docPart w:val="CE9DBE1383624A7CAB45E544E08C3D70"/>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4F71">
            <w:t>[Title Here, up to 12 Words, on One to Two Lines]</w:t>
          </w:r>
        </w:sdtContent>
      </w:sdt>
    </w:p>
    <w:sdt>
      <w:sdtPr>
        <w:id w:val="-1322272011"/>
        <w:placeholder>
          <w:docPart w:val="AF789546C7EF463D852435CEDC3F2EEA"/>
        </w:placeholder>
        <w:temporary/>
        <w:showingPlcHdr/>
        <w15:appearance w15:val="hidden"/>
        <w:text/>
      </w:sdtPr>
      <w:sdtEndPr/>
      <w:sdtContent>
        <w:p w:rsidR="0031081F" w:rsidRDefault="00D74F71">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id w:val="1295489386"/>
        <w:placeholder>
          <w:docPart w:val="11E7C60559634E35B9415F5E29A8D023"/>
        </w:placeholder>
        <w:temporary/>
        <w:showingPlcHdr/>
        <w15:appearance w15:val="hidden"/>
        <w:text/>
      </w:sdtPr>
      <w:sdtEndPr/>
      <w:sdtContent>
        <w:p w:rsidR="0031081F" w:rsidRDefault="00D74F71">
          <w:pPr>
            <w:pStyle w:val="Heading1"/>
          </w:pPr>
          <w:r>
            <w:t>[Heading 1]</w:t>
          </w:r>
        </w:p>
      </w:sdtContent>
    </w:sdt>
    <w:p w:rsidR="0031081F" w:rsidRDefault="00FD51E1">
      <w:sdt>
        <w:sdtPr>
          <w:id w:val="1404798514"/>
          <w:placeholder>
            <w:docPart w:val="20025205EE1547B09E8D3EAF6780497B"/>
          </w:placeholder>
          <w:temporary/>
          <w:showingPlcHdr/>
          <w15:appearance w15:val="hidden"/>
          <w:text/>
        </w:sdtPr>
        <w:sdtEndPr/>
        <w:sdtContent>
          <w:r w:rsidR="00D74F71">
            <w:t>[The first two heading levels get their own paragraph, as shown here. Headings 3, 4, and 5 are run-in headings used at the beginning of the paragraph.]</w:t>
          </w:r>
        </w:sdtContent>
      </w:sdt>
      <w:r w:rsidR="00D74F71">
        <w:t xml:space="preserve"> </w:t>
      </w:r>
    </w:p>
    <w:p w:rsidR="0031081F" w:rsidRDefault="00FD51E1">
      <w:pPr>
        <w:pStyle w:val="Heading2"/>
      </w:pPr>
      <w:sdt>
        <w:sdtPr>
          <w:id w:val="1203442487"/>
          <w:placeholder>
            <w:docPart w:val="EA0F905C10BB422CA24BFC4558C83129"/>
          </w:placeholder>
          <w:temporary/>
          <w:showingPlcHdr/>
          <w15:appearance w15:val="hidden"/>
          <w:text/>
        </w:sdtPr>
        <w:sdtEndPr/>
        <w:sdtContent>
          <w:r w:rsidR="00D74F71">
            <w:t>[Heading 2]</w:t>
          </w:r>
        </w:sdtContent>
      </w:sdt>
      <w:r w:rsidR="00D74F71">
        <w:rPr>
          <w:rStyle w:val="FootnoteReference"/>
        </w:rPr>
        <w:t>1</w:t>
      </w:r>
    </w:p>
    <w:sdt>
      <w:sdtPr>
        <w:id w:val="1221403361"/>
        <w:placeholder>
          <w:docPart w:val="592BC94BED514A9193B41E0387ED7E68"/>
        </w:placeholder>
        <w:temporary/>
        <w:showingPlcHdr/>
        <w15:appearance w15:val="hidden"/>
      </w:sdtPr>
      <w:sdtEndPr/>
      <w:sdtContent>
        <w:p w:rsidR="0031081F" w:rsidRDefault="00D74F71">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rsidR="0031081F" w:rsidRDefault="00FD51E1">
      <w:pPr>
        <w:rPr>
          <w:b/>
          <w:bCs/>
        </w:rPr>
      </w:pPr>
      <w:sdt>
        <w:sdtPr>
          <w:rPr>
            <w:rStyle w:val="Heading3Char"/>
          </w:rPr>
          <w:id w:val="1751771428"/>
          <w:placeholder>
            <w:docPart w:val="085D136369BB478BBD25324DC6C631B1"/>
          </w:placeholder>
          <w:temporary/>
          <w:showingPlcHdr/>
          <w15:appearance w15:val="hidden"/>
          <w:text/>
        </w:sdtPr>
        <w:sdtEndPr>
          <w:rPr>
            <w:rStyle w:val="DefaultParagraphFont"/>
            <w:rFonts w:asciiTheme="minorHAnsi" w:eastAsiaTheme="minorEastAsia" w:hAnsiTheme="minorHAnsi" w:cstheme="minorBidi"/>
            <w:b w:val="0"/>
            <w:bCs w:val="0"/>
          </w:rPr>
        </w:sdtEndPr>
        <w:sdtContent>
          <w:r w:rsidR="00D74F71">
            <w:rPr>
              <w:rStyle w:val="Heading3Char"/>
            </w:rPr>
            <w:t>[Heading 3]</w:t>
          </w:r>
        </w:sdtContent>
      </w:sdt>
      <w:r w:rsidR="00D74F71">
        <w:rPr>
          <w:rStyle w:val="Heading3Char"/>
        </w:rPr>
        <w:t>.</w:t>
      </w:r>
      <w:r w:rsidR="00D74F71">
        <w:t xml:space="preserve"> </w:t>
      </w:r>
      <w:sdt>
        <w:sdtPr>
          <w:id w:val="2054876750"/>
          <w:placeholder>
            <w:docPart w:val="F2F715D675FD4441AD85C82F4575A638"/>
          </w:placeholder>
          <w:temporary/>
          <w:showingPlcHdr/>
          <w15:appearance w15:val="hidden"/>
          <w:text/>
        </w:sdtPr>
        <w:sdtEndPr/>
        <w:sdtContent>
          <w:r w:rsidR="00D74F71">
            <w:t>[Include a period at the end of a run-in heading. Note that you can include consecutive paragraphs with their own headings, where appropriate.]</w:t>
          </w:r>
        </w:sdtContent>
      </w:sdt>
    </w:p>
    <w:p w:rsidR="0031081F" w:rsidRDefault="00FD51E1">
      <w:pPr>
        <w:rPr>
          <w:b/>
          <w:bCs/>
        </w:rPr>
      </w:pPr>
      <w:sdt>
        <w:sdtPr>
          <w:rPr>
            <w:rStyle w:val="Heading4Char"/>
          </w:rPr>
          <w:id w:val="-685361587"/>
          <w:placeholder>
            <w:docPart w:val="912B37EE2CB8485AAAB81F0875B68690"/>
          </w:placeholder>
          <w:temporary/>
          <w:showingPlcHdr/>
          <w15:appearance w15:val="hidden"/>
          <w:text/>
        </w:sdtPr>
        <w:sdtEndPr>
          <w:rPr>
            <w:rStyle w:val="DefaultParagraphFont"/>
            <w:rFonts w:asciiTheme="minorHAnsi" w:eastAsiaTheme="minorEastAsia" w:hAnsiTheme="minorHAnsi" w:cstheme="minorBidi"/>
            <w:b w:val="0"/>
            <w:bCs w:val="0"/>
            <w:i w:val="0"/>
            <w:iCs w:val="0"/>
          </w:rPr>
        </w:sdtEndPr>
        <w:sdtContent>
          <w:r w:rsidR="00D74F71">
            <w:rPr>
              <w:rStyle w:val="Heading4Char"/>
            </w:rPr>
            <w:t>[Heading 4]</w:t>
          </w:r>
        </w:sdtContent>
      </w:sdt>
      <w:r w:rsidR="00D74F71">
        <w:rPr>
          <w:rStyle w:val="Heading4Char"/>
        </w:rPr>
        <w:t>.</w:t>
      </w:r>
      <w:r w:rsidR="00D74F71">
        <w:t xml:space="preserve"> </w:t>
      </w:r>
      <w:sdt>
        <w:sdtPr>
          <w:id w:val="-1987159626"/>
          <w:placeholder>
            <w:docPart w:val="C22FF063BB9B495C8B58EA6D02BA7E50"/>
          </w:placeholder>
          <w:temporary/>
          <w:showingPlcHdr/>
          <w15:appearance w15:val="hidden"/>
          <w:text/>
        </w:sdtPr>
        <w:sdtEndPr/>
        <w:sdtContent>
          <w:r w:rsidR="00D74F71">
            <w:t>[When using headings, don’t skip levels. 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rsidR="00D74F71">
            <w:fldChar w:fldCharType="begin"/>
          </w:r>
          <w:r w:rsidR="00D74F71">
            <w:instrText xml:space="preserve">CITATION Article \t  \l 1033 </w:instrText>
          </w:r>
          <w:r w:rsidR="00D74F71">
            <w:fldChar w:fldCharType="separate"/>
          </w:r>
          <w:r w:rsidR="00D74F71">
            <w:rPr>
              <w:noProof/>
            </w:rPr>
            <w:t xml:space="preserve"> (Last Name, Year)</w:t>
          </w:r>
          <w:r w:rsidR="00D74F71">
            <w:fldChar w:fldCharType="end"/>
          </w:r>
        </w:sdtContent>
      </w:sdt>
    </w:p>
    <w:p w:rsidR="0031081F" w:rsidRDefault="00FD51E1">
      <w:sdt>
        <w:sdtPr>
          <w:rPr>
            <w:rStyle w:val="Heading5Char"/>
          </w:rPr>
          <w:id w:val="-53853956"/>
          <w:placeholder>
            <w:docPart w:val="5A0FBDAE6F1144F3BA44F3BB48567648"/>
          </w:placeholder>
          <w:temporary/>
          <w:showingPlcHdr/>
          <w15:appearance w15:val="hidden"/>
          <w:text/>
        </w:sdtPr>
        <w:sdtEndPr>
          <w:rPr>
            <w:rStyle w:val="DefaultParagraphFont"/>
            <w:rFonts w:asciiTheme="minorHAnsi" w:eastAsiaTheme="minorEastAsia" w:hAnsiTheme="minorHAnsi" w:cstheme="minorBidi"/>
            <w:i w:val="0"/>
            <w:iCs w:val="0"/>
          </w:rPr>
        </w:sdtEndPr>
        <w:sdtContent>
          <w:r w:rsidR="00D74F71">
            <w:rPr>
              <w:rStyle w:val="Heading5Char"/>
            </w:rPr>
            <w:t>[Heading 5]</w:t>
          </w:r>
        </w:sdtContent>
      </w:sdt>
      <w:r w:rsidR="00D74F71">
        <w:rPr>
          <w:rStyle w:val="Heading5Char"/>
        </w:rPr>
        <w:t>.</w:t>
      </w:r>
      <w:r w:rsidR="00D74F71">
        <w:t xml:space="preserve"> </w:t>
      </w:r>
      <w:sdt>
        <w:sdtPr>
          <w:id w:val="1216239889"/>
          <w:placeholder>
            <w:docPart w:val="5CF22170997747C1980D63E8508BF355"/>
          </w:placeholder>
          <w:temporary/>
          <w:showingPlcHdr/>
          <w15:appearance w15:val="hidden"/>
          <w:text/>
        </w:sdtPr>
        <w:sdtEndPr/>
        <w:sdtContent>
          <w:r w:rsidR="00D74F71">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D74F71">
        <w:t xml:space="preserve"> </w:t>
      </w:r>
      <w:sdt>
        <w:sdtPr>
          <w:id w:val="-1701930945"/>
          <w:citation/>
        </w:sdtPr>
        <w:sdtEndPr/>
        <w:sdtContent>
          <w:r w:rsidR="00D74F71">
            <w:fldChar w:fldCharType="begin"/>
          </w:r>
          <w:r w:rsidR="00D74F71">
            <w:instrText xml:space="preserve">CITATION Last \t  \l 1033 </w:instrText>
          </w:r>
          <w:r w:rsidR="00D74F71">
            <w:fldChar w:fldCharType="separate"/>
          </w:r>
          <w:r w:rsidR="00D74F71">
            <w:rPr>
              <w:noProof/>
            </w:rPr>
            <w:t>(Last Name, Year)</w:t>
          </w:r>
          <w:r w:rsidR="00D74F71">
            <w:fldChar w:fldCharType="end"/>
          </w:r>
        </w:sdtContent>
      </w:sdt>
    </w:p>
    <w:p w:rsidR="00BE4189" w:rsidRDefault="00EB1CAE" w:rsidP="00EB1CAE">
      <w:pPr>
        <w:pStyle w:val="Heading1"/>
      </w:pPr>
      <w:r>
        <w:lastRenderedPageBreak/>
        <w:t>Experiment 1</w:t>
      </w:r>
    </w:p>
    <w:p w:rsidR="000A4E5B" w:rsidRPr="000A4E5B" w:rsidRDefault="000A4E5B" w:rsidP="000A4E5B">
      <w:r>
        <w:t xml:space="preserve">In the Experiment 1, we tested the validity and the reliability of the </w:t>
      </w:r>
      <w:r w:rsidR="008678D6">
        <w:t>Multi-Items</w:t>
      </w:r>
      <w:r>
        <w:t xml:space="preserve"> Rearrangement </w:t>
      </w:r>
      <w:r w:rsidR="009C0037">
        <w:t xml:space="preserve">measurement. </w:t>
      </w:r>
      <w:r w:rsidR="000E2A91">
        <w:t xml:space="preserve">The experiment is separated into two blocks. The first block </w:t>
      </w:r>
      <w:r w:rsidR="00040BEC">
        <w:t>employ</w:t>
      </w:r>
      <w:r w:rsidR="00AF4A78">
        <w:t>ed</w:t>
      </w:r>
      <w:r w:rsidR="00040BEC">
        <w:t xml:space="preserve"> the Multi-</w:t>
      </w:r>
      <w:r w:rsidR="008678D6">
        <w:t>Items</w:t>
      </w:r>
      <w:r w:rsidR="00040BEC">
        <w:t xml:space="preserve"> Rea</w:t>
      </w:r>
      <w:r w:rsidR="004E02CB">
        <w:t xml:space="preserve">rrangement measurement to measure the similarity between </w:t>
      </w:r>
      <w:r w:rsidR="00A55D39">
        <w:t>abstract</w:t>
      </w:r>
      <w:r w:rsidR="004E02CB">
        <w:t xml:space="preserve"> faces. </w:t>
      </w:r>
      <w:r w:rsidR="005432D5">
        <w:t xml:space="preserve">The second block </w:t>
      </w:r>
      <w:r w:rsidR="00AF4A78">
        <w:t xml:space="preserve">used the </w:t>
      </w:r>
      <w:r w:rsidR="00181AA6">
        <w:t>Paired co</w:t>
      </w:r>
      <w:r w:rsidR="00C52A62">
        <w:t xml:space="preserve">mparison measurement to validate the result acquired from the Multi-Items Rearrangement measurement. </w:t>
      </w:r>
    </w:p>
    <w:p w:rsidR="00EB1CAE" w:rsidRDefault="00EB1CAE" w:rsidP="00EB1CAE">
      <w:pPr>
        <w:pStyle w:val="Heading2"/>
      </w:pPr>
      <w:r>
        <w:t>Method</w:t>
      </w:r>
    </w:p>
    <w:p w:rsidR="00EE5C71" w:rsidRDefault="00EE5C71" w:rsidP="001C30C4">
      <w:r w:rsidRPr="00DC7AED">
        <w:rPr>
          <w:rStyle w:val="Heading3Char"/>
        </w:rPr>
        <w:t>Participants.</w:t>
      </w:r>
      <w:r>
        <w:t xml:space="preserve"> </w:t>
      </w:r>
      <w:r w:rsidR="00070D4B">
        <w:t xml:space="preserve">Ten students recruited from University of </w:t>
      </w:r>
      <w:r w:rsidR="00886A5D" w:rsidRPr="00886A5D">
        <w:t>Zürich</w:t>
      </w:r>
      <w:r w:rsidR="00070D4B">
        <w:t>.</w:t>
      </w:r>
      <w:r w:rsidR="00464A8F">
        <w:t xml:space="preserve"> Participants were rewarded with course credits or 30 Swiss Francs after completed the experiment.</w:t>
      </w:r>
    </w:p>
    <w:p w:rsidR="0093481C" w:rsidRDefault="0093481C" w:rsidP="001C30C4">
      <w:r w:rsidRPr="00F4465A">
        <w:rPr>
          <w:rStyle w:val="Heading3Char"/>
        </w:rPr>
        <w:t>Materials.</w:t>
      </w:r>
      <w:r>
        <w:t xml:space="preserve"> Both Multi-Items Rearrangement task and the Paired-Comparison task shared the same set of stimuli. </w:t>
      </w:r>
      <w:r w:rsidR="00D90165">
        <w:t xml:space="preserve">Color patches are used in the practice trials. </w:t>
      </w:r>
      <w:r w:rsidR="003D6CCE">
        <w:t>The colors are randomly selected from all the possible colors in the 24 bits</w:t>
      </w:r>
      <w:r w:rsidR="00C61511">
        <w:t xml:space="preserve"> RGB</w:t>
      </w:r>
      <w:r w:rsidR="003D6CCE">
        <w:t xml:space="preserve"> </w:t>
      </w:r>
      <w:r w:rsidR="00972014">
        <w:t>color space</w:t>
      </w:r>
      <w:r w:rsidR="003D6CCE">
        <w:t xml:space="preserve">. </w:t>
      </w:r>
      <w:r w:rsidR="00B7555E">
        <w:t xml:space="preserve">Abstract faces are used in the experiment </w:t>
      </w:r>
      <w:r w:rsidR="001167D5">
        <w:t xml:space="preserve">trials. The faces are varied on four dimensions: the width between eyes, the height of eyes, the length of nose, and the </w:t>
      </w:r>
      <w:r w:rsidR="00487EBB">
        <w:t>position</w:t>
      </w:r>
      <w:r w:rsidR="00B66913">
        <w:t xml:space="preserve"> of </w:t>
      </w:r>
      <w:r w:rsidR="00E6691D">
        <w:t>mouth</w:t>
      </w:r>
      <w:r w:rsidR="00B66913">
        <w:t>, with each dimensions have two possible configuration</w:t>
      </w:r>
      <w:r w:rsidR="009A1B54">
        <w:t>s</w:t>
      </w:r>
      <w:r w:rsidR="00B66913">
        <w:t xml:space="preserve">. </w:t>
      </w:r>
      <w:r w:rsidR="009A1B54">
        <w:t>The</w:t>
      </w:r>
      <w:r w:rsidR="00962099">
        <w:t xml:space="preserve"> faces are </w:t>
      </w:r>
      <w:r w:rsidR="00670F26">
        <w:t>shown</w:t>
      </w:r>
      <w:r w:rsidR="00962099">
        <w:t xml:space="preserve"> in the </w:t>
      </w:r>
      <w:r w:rsidR="000218E5">
        <w:t>Figure 1.</w:t>
      </w:r>
    </w:p>
    <w:p w:rsidR="009E53F2" w:rsidRDefault="009E53F2" w:rsidP="00454E84">
      <w:r w:rsidRPr="009735AB">
        <w:rPr>
          <w:rStyle w:val="Heading3Char"/>
        </w:rPr>
        <w:t>Procedure.</w:t>
      </w:r>
      <w:r>
        <w:t xml:space="preserve"> Experiment 1 is consisted of two identical sessions, and the sessions are carried in two different days. Each session contains two blocks. The first block is the Multi-Items Rearrangement measurement task, and the second block is the Paired comparison measurement task.</w:t>
      </w:r>
      <w:r w:rsidR="002C7A79">
        <w:t xml:space="preserve"> On average, e</w:t>
      </w:r>
      <w:r>
        <w:t xml:space="preserve">ach session takes about 45 minutes. </w:t>
      </w:r>
    </w:p>
    <w:p w:rsidR="00444B5E" w:rsidRDefault="00193FAC" w:rsidP="002006AB">
      <w:r w:rsidRPr="00EB2202">
        <w:rPr>
          <w:rStyle w:val="Heading4Char"/>
        </w:rPr>
        <w:t>Multi-Items Rearrangement Task.</w:t>
      </w:r>
      <w:r>
        <w:t xml:space="preserve"> </w:t>
      </w:r>
      <w:r w:rsidR="00FE284A">
        <w:t>The Multi-Items Rearrangement task consists of two practice trials and 12 experiment trials.</w:t>
      </w:r>
      <w:r w:rsidR="00354538">
        <w:t xml:space="preserve"> </w:t>
      </w:r>
      <w:r w:rsidR="005A0DD3">
        <w:t xml:space="preserve">In each trials, 8 </w:t>
      </w:r>
      <w:r w:rsidR="00B32632">
        <w:t>items</w:t>
      </w:r>
      <w:r w:rsidR="005A0DD3">
        <w:t xml:space="preserve"> were randomly scattered on the screen without overlapping. </w:t>
      </w:r>
      <w:r w:rsidR="0066181F">
        <w:t xml:space="preserve">Participants were instructed to </w:t>
      </w:r>
      <w:r w:rsidR="00171A1A">
        <w:t>rearrange</w:t>
      </w:r>
      <w:r w:rsidR="0066181F">
        <w:t xml:space="preserve"> the </w:t>
      </w:r>
      <w:r w:rsidR="00E445FB">
        <w:t>items</w:t>
      </w:r>
      <w:r w:rsidR="0066181F">
        <w:t xml:space="preserve"> by using mouse to drag-and-drop the </w:t>
      </w:r>
      <w:r w:rsidR="004F41F7">
        <w:t>items</w:t>
      </w:r>
      <w:r w:rsidR="00704CB1">
        <w:t xml:space="preserve">, and the distance between </w:t>
      </w:r>
      <w:r w:rsidR="00C31AF0">
        <w:t>items</w:t>
      </w:r>
      <w:r w:rsidR="00704CB1">
        <w:t xml:space="preserve"> should reflect the similarity between the </w:t>
      </w:r>
      <w:r w:rsidR="00ED0F4B">
        <w:lastRenderedPageBreak/>
        <w:t>items</w:t>
      </w:r>
      <w:r w:rsidR="00171A1A">
        <w:t xml:space="preserve">, where the farther distance between </w:t>
      </w:r>
      <w:r w:rsidR="00ED0F4B">
        <w:t>items</w:t>
      </w:r>
      <w:r w:rsidR="00171A1A">
        <w:t xml:space="preserve"> indicates the more dissimilar between </w:t>
      </w:r>
      <w:r w:rsidR="00ED0F4B">
        <w:t>items</w:t>
      </w:r>
      <w:r w:rsidR="00171A1A">
        <w:t>.</w:t>
      </w:r>
      <w:r w:rsidR="00EF1F3C">
        <w:t xml:space="preserve"> </w:t>
      </w:r>
      <w:r w:rsidR="00294B3C">
        <w:t>After participants were satisfied wit</w:t>
      </w:r>
      <w:r w:rsidR="00635F38">
        <w:t xml:space="preserve">h the arrangement of the items, </w:t>
      </w:r>
      <w:r w:rsidR="00DE6A90">
        <w:t>they</w:t>
      </w:r>
      <w:r w:rsidR="00635F38">
        <w:t xml:space="preserve"> </w:t>
      </w:r>
      <w:r w:rsidR="00DE6A90">
        <w:t>can</w:t>
      </w:r>
      <w:r w:rsidR="00635F38">
        <w:t xml:space="preserve"> press space bar to continue to next trial. </w:t>
      </w:r>
      <w:r w:rsidR="00DE6A90">
        <w:t>Participants were instruction to take as lon</w:t>
      </w:r>
      <w:r w:rsidR="00865E91">
        <w:t xml:space="preserve">g as they </w:t>
      </w:r>
      <w:r w:rsidR="0086546A">
        <w:t xml:space="preserve">want to </w:t>
      </w:r>
      <w:r w:rsidR="009C09D6">
        <w:t>rearrange the items.</w:t>
      </w:r>
    </w:p>
    <w:p w:rsidR="003A543E" w:rsidRDefault="003A543E" w:rsidP="002006AB">
      <w:r>
        <w:t>The Multi-Items Rearrangement task requires 6 trials to complete the similarity matrix between 16 items. We repeated the procedure twice in order to obtain more accuracy measurement of the similarity matrix. The items were rearranged into different subgroup for the second repetition.</w:t>
      </w:r>
    </w:p>
    <w:p w:rsidR="003F2307" w:rsidRDefault="003F2307" w:rsidP="002006AB">
      <w:r w:rsidRPr="003A5804">
        <w:rPr>
          <w:rStyle w:val="Heading4Char"/>
        </w:rPr>
        <w:t>Paired-Comparison Task.</w:t>
      </w:r>
      <w:r>
        <w:t xml:space="preserve"> </w:t>
      </w:r>
      <w:r w:rsidR="00F81FB3">
        <w:t xml:space="preserve">The paired comparison task consists of 4 practice trials and 240 experiment trials. </w:t>
      </w:r>
      <w:r w:rsidR="003A5804">
        <w:t>In each trial, two i</w:t>
      </w:r>
      <w:r w:rsidR="007551C7">
        <w:t>tems were presented on the screen</w:t>
      </w:r>
      <w:r w:rsidR="003948F6">
        <w:t xml:space="preserve"> with a 9 points scale below the items. Participants were instructed to rate the similarity between the two items by </w:t>
      </w:r>
      <w:r w:rsidR="00CA2E22">
        <w:t>clicking on the 9 points scale, with 1 to be the most similar, and 9 to be the most dissimilar.</w:t>
      </w:r>
      <w:r w:rsidR="008136A0">
        <w:t xml:space="preserve"> After the similarity is selected, a blank screen appeared for 1 second and was followed by the next trial.</w:t>
      </w:r>
      <w:r w:rsidR="00D37705">
        <w:t xml:space="preserve"> </w:t>
      </w:r>
      <w:r w:rsidR="00CC1E6D">
        <w:t>Participants were instructed to take as long as they want to complete the t</w:t>
      </w:r>
      <w:r w:rsidR="006E2E2A">
        <w:t>rial.</w:t>
      </w:r>
    </w:p>
    <w:p w:rsidR="006E2E2A" w:rsidRDefault="006E2E2A" w:rsidP="002006AB">
      <w:r>
        <w:t>The Paired-Comparison task requires 120 trials to complete the similarity matrix of 16 items. We repeated the measurement twice in order to increase the acc</w:t>
      </w:r>
      <w:r w:rsidR="00415B84">
        <w:t>uracy of the similarity matrix.</w:t>
      </w:r>
    </w:p>
    <w:p w:rsidR="00EB1CAE" w:rsidRDefault="00187899" w:rsidP="00EB1CAE">
      <w:pPr>
        <w:pStyle w:val="Heading2"/>
      </w:pPr>
      <w:r>
        <w:t>Results</w:t>
      </w:r>
    </w:p>
    <w:p w:rsidR="009F4B35" w:rsidRDefault="00AF5B98" w:rsidP="00B62461">
      <w:pPr>
        <w:rPr>
          <w:rFonts w:eastAsia="MS Mincho"/>
        </w:rPr>
      </w:pPr>
      <w:r>
        <w:rPr>
          <w:rFonts w:eastAsia="MS Mincho" w:hint="eastAsia"/>
        </w:rPr>
        <w:t xml:space="preserve">The similarity matrix acquired from the Multi-Items Rearrangement </w:t>
      </w:r>
      <w:r>
        <w:rPr>
          <w:rFonts w:eastAsia="MS Mincho"/>
        </w:rPr>
        <w:t xml:space="preserve">task </w:t>
      </w:r>
      <w:r w:rsidR="00A95F30">
        <w:rPr>
          <w:rFonts w:eastAsia="MS Mincho"/>
        </w:rPr>
        <w:t xml:space="preserve">is based on the distance between items in the trial. </w:t>
      </w:r>
      <w:r w:rsidR="00184E3F">
        <w:rPr>
          <w:rFonts w:eastAsia="MS Mincho"/>
        </w:rPr>
        <w:t xml:space="preserve">If the distance between two items were measured multiple times, the </w:t>
      </w:r>
      <w:r w:rsidR="00B90426">
        <w:rPr>
          <w:rFonts w:eastAsia="MS Mincho"/>
        </w:rPr>
        <w:t>average of the distance is used as the similarity between the items.</w:t>
      </w:r>
      <w:r w:rsidR="005C0C7C">
        <w:rPr>
          <w:rFonts w:eastAsia="MS Mincho"/>
        </w:rPr>
        <w:t xml:space="preserve"> </w:t>
      </w:r>
      <w:r w:rsidR="0049644F">
        <w:rPr>
          <w:rFonts w:eastAsia="MS Mincho"/>
        </w:rPr>
        <w:t xml:space="preserve">The similarity matrix acquired from the Paired-Comparison task is based on the rated similarity between items. </w:t>
      </w:r>
      <w:r w:rsidR="006F6F2E">
        <w:rPr>
          <w:rFonts w:eastAsia="MS Mincho"/>
        </w:rPr>
        <w:t xml:space="preserve">Similar to the Multi-Items Rearrangement task, if an items pair is rated multiple times, the similarity between the items pair is calculated </w:t>
      </w:r>
      <w:r w:rsidR="009F4B35">
        <w:rPr>
          <w:rFonts w:eastAsia="MS Mincho"/>
        </w:rPr>
        <w:t>as the average between ratings.</w:t>
      </w:r>
    </w:p>
    <w:p w:rsidR="00B868AD" w:rsidRDefault="009F4B35" w:rsidP="00555F14">
      <w:pPr>
        <w:rPr>
          <w:rFonts w:eastAsia="MS Mincho"/>
        </w:rPr>
      </w:pPr>
      <w:r>
        <w:rPr>
          <w:rFonts w:eastAsia="MS Mincho"/>
        </w:rPr>
        <w:t xml:space="preserve">To test the reliability of Multi-Items Rearrangement task and the Paired-Comparison task, </w:t>
      </w:r>
      <w:r w:rsidR="00405D3B">
        <w:rPr>
          <w:rFonts w:eastAsia="MS Mincho"/>
        </w:rPr>
        <w:t xml:space="preserve">we compare the similarity matrixes acquired from the first session and the second session. </w:t>
      </w:r>
      <w:r w:rsidR="00304755">
        <w:rPr>
          <w:rFonts w:eastAsia="MS Mincho"/>
        </w:rPr>
        <w:t xml:space="preserve">The </w:t>
      </w:r>
      <w:r w:rsidR="00304755">
        <w:rPr>
          <w:rFonts w:eastAsia="MS Mincho"/>
        </w:rPr>
        <w:lastRenderedPageBreak/>
        <w:t xml:space="preserve">comparison between the similarity matrices is done through Random Skewers method {cite random skewered method}. </w:t>
      </w:r>
      <w:r w:rsidR="005C2FF6">
        <w:rPr>
          <w:rFonts w:eastAsia="MS Mincho"/>
        </w:rPr>
        <w:t xml:space="preserve">The </w:t>
      </w:r>
      <w:r w:rsidR="00ED168F">
        <w:rPr>
          <w:rFonts w:eastAsia="MS Mincho"/>
        </w:rPr>
        <w:t xml:space="preserve">correlation between the similarity matrices acquired from first session and the second session for both tasks </w:t>
      </w:r>
      <w:r w:rsidR="000C731F">
        <w:rPr>
          <w:rFonts w:eastAsia="MS Mincho"/>
        </w:rPr>
        <w:t xml:space="preserve">of each </w:t>
      </w:r>
      <w:r w:rsidR="00B868AD">
        <w:rPr>
          <w:rFonts w:eastAsia="MS Mincho"/>
        </w:rPr>
        <w:t>participant</w:t>
      </w:r>
      <w:r w:rsidR="000C731F">
        <w:rPr>
          <w:rFonts w:eastAsia="MS Mincho"/>
        </w:rPr>
        <w:t xml:space="preserve"> </w:t>
      </w:r>
      <w:r w:rsidR="00ED168F">
        <w:rPr>
          <w:rFonts w:eastAsia="MS Mincho"/>
        </w:rPr>
        <w:t>are listed in Table 1.</w:t>
      </w:r>
      <w:r w:rsidR="00555F14">
        <w:rPr>
          <w:rFonts w:eastAsia="MS Mincho"/>
        </w:rPr>
        <w:t xml:space="preserve"> </w:t>
      </w:r>
      <w:r w:rsidR="00B868AD">
        <w:rPr>
          <w:rFonts w:eastAsia="MS Mincho"/>
        </w:rPr>
        <w:t xml:space="preserve">To test the validity of the </w:t>
      </w:r>
      <w:r w:rsidR="006E6CA0">
        <w:rPr>
          <w:rFonts w:eastAsia="MS Mincho"/>
        </w:rPr>
        <w:t xml:space="preserve">Multi-Items Rearrangement task, </w:t>
      </w:r>
      <w:r w:rsidR="00E51C22">
        <w:rPr>
          <w:rFonts w:eastAsia="MS Mincho"/>
        </w:rPr>
        <w:t xml:space="preserve">the </w:t>
      </w:r>
      <w:r w:rsidR="00706CED">
        <w:rPr>
          <w:rFonts w:eastAsia="MS Mincho"/>
        </w:rPr>
        <w:t xml:space="preserve">similarity matrices acquired from Multi-Items Rearrangement task and the similarity matrices acquired from Paired-Comparison task were compared with the Random Skewers method. </w:t>
      </w:r>
      <w:r w:rsidR="004A01C0">
        <w:rPr>
          <w:rFonts w:eastAsia="MS Mincho"/>
        </w:rPr>
        <w:t>The correlation between the similarity matrices are listed in Table 1</w:t>
      </w:r>
      <w:r w:rsidR="00BD5701">
        <w:rPr>
          <w:rFonts w:eastAsia="MS Mincho"/>
        </w:rPr>
        <w:t>, where the lowest correction is 0.85</w:t>
      </w:r>
      <w:r w:rsidR="004A01C0">
        <w:rPr>
          <w:rFonts w:eastAsia="MS Mincho"/>
        </w:rPr>
        <w:t xml:space="preserve">. </w:t>
      </w:r>
      <w:r w:rsidR="00597074">
        <w:rPr>
          <w:rFonts w:eastAsia="MS Mincho"/>
        </w:rPr>
        <w:t>To ensure both similarity matrices</w:t>
      </w:r>
      <w:r w:rsidR="00642E41">
        <w:rPr>
          <w:rFonts w:eastAsia="MS Mincho"/>
        </w:rPr>
        <w:t xml:space="preserve"> are</w:t>
      </w:r>
      <w:r w:rsidR="00597074">
        <w:rPr>
          <w:rFonts w:eastAsia="MS Mincho"/>
        </w:rPr>
        <w:t xml:space="preserve"> aligned, </w:t>
      </w:r>
      <w:r w:rsidR="00BF469E">
        <w:rPr>
          <w:rFonts w:eastAsia="MS Mincho"/>
        </w:rPr>
        <w:t xml:space="preserve">we </w:t>
      </w:r>
      <w:r w:rsidR="00762CA3">
        <w:rPr>
          <w:rFonts w:eastAsia="MS Mincho"/>
        </w:rPr>
        <w:t xml:space="preserve">plotted the with acquired similarity </w:t>
      </w:r>
      <w:r w:rsidR="00F138F3">
        <w:rPr>
          <w:rFonts w:eastAsia="MS Mincho"/>
        </w:rPr>
        <w:t>matrices with</w:t>
      </w:r>
      <w:r w:rsidR="00762CA3">
        <w:rPr>
          <w:rFonts w:eastAsia="MS Mincho"/>
        </w:rPr>
        <w:t xml:space="preserve"> Multidimensional Scaling</w:t>
      </w:r>
      <w:r w:rsidR="00267272">
        <w:rPr>
          <w:rFonts w:eastAsia="MS Mincho"/>
        </w:rPr>
        <w:t>, as shown in Figure 2.</w:t>
      </w:r>
    </w:p>
    <w:p w:rsidR="00555F14" w:rsidRPr="00B62461" w:rsidRDefault="00FB07DD" w:rsidP="001723CE">
      <w:r>
        <w:t>The</w:t>
      </w:r>
      <w:r w:rsidR="00214C3D">
        <w:t xml:space="preserve"> average</w:t>
      </w:r>
      <w:r>
        <w:t xml:space="preserve"> time</w:t>
      </w:r>
      <w:r w:rsidR="00214C3D">
        <w:t xml:space="preserve"> required to complete the Multi-Items Rearrangement task is 475.6s, and the </w:t>
      </w:r>
      <w:r w:rsidR="00663DD1">
        <w:t>Paired-Comparison task takes</w:t>
      </w:r>
      <w:r w:rsidR="00E76849">
        <w:t xml:space="preserve"> average</w:t>
      </w:r>
      <w:r w:rsidR="00663DD1">
        <w:t xml:space="preserve"> 905.1s to complete. </w:t>
      </w:r>
      <w:r w:rsidR="00E63845">
        <w:t>The time required for both tasks were compared in R</w:t>
      </w:r>
      <w:r w:rsidR="007C4A28">
        <w:t xml:space="preserve"> </w:t>
      </w:r>
      <w:r w:rsidR="007C4A28">
        <w:fldChar w:fldCharType="begin"/>
      </w:r>
      <w:r w:rsidR="007C4A28">
        <w:instrText xml:space="preserve"> ADDIN ZOTERO_ITEM CSL_CITATION {"citationID":"a13fbhd3aap","properties":{"formattedCitation":"(R. Core Team, 2016)","plainCitation":"(R. Core Team, 2016)"},"citationItems":[{"id":118,"uris":["http://zotero.org/users/1327751/items/GBXRG58T"],"uri":["http://zotero.org/users/1327751/items/GBXRG58T"],"itemData":{"id":118,"type":"book","title":"R: A Language and Environment for Statistical Computing","publisher-place":"Vienna, Austria","event-place":"Vienna, Austria","URL":"http://www.R-project.org/","author":[{"family":"R. Core Team","given":""}],"issued":{"date-parts":[["2016"]]}}}],"schema":"https://github.com/citation-style-language/schema/raw/master/csl-citation.json"} </w:instrText>
      </w:r>
      <w:r w:rsidR="007C4A28">
        <w:fldChar w:fldCharType="separate"/>
      </w:r>
      <w:r w:rsidR="007C4A28" w:rsidRPr="007C4A28">
        <w:rPr>
          <w:rFonts w:ascii="Times New Roman" w:hAnsi="Times New Roman" w:cs="Times New Roman"/>
        </w:rPr>
        <w:t>(R. Core Team, 2016)</w:t>
      </w:r>
      <w:r w:rsidR="007C4A28">
        <w:fldChar w:fldCharType="end"/>
      </w:r>
      <w:r w:rsidR="00E63845">
        <w:t xml:space="preserve"> with BayesFactor package</w:t>
      </w:r>
      <w:r w:rsidR="007C4A28">
        <w:t xml:space="preserve"> </w:t>
      </w:r>
      <w:r w:rsidR="007C4A28">
        <w:fldChar w:fldCharType="begin"/>
      </w:r>
      <w:r w:rsidR="007C4A28">
        <w:instrText xml:space="preserve"> ADDIN ZOTERO_ITEM CSL_CITATION {"citationID":"a2le28d761l","properties":{"formattedCitation":"(Morey &amp; Rouder, 2015)","plainCitation":"(Morey &amp; Rouder, 2015)"},"citationItems":[{"id":83,"uris":["http://zotero.org/users/1327751/items/C4DIQK6Q"],"uri":["http://zotero.org/users/1327751/items/C4DIQK6Q"],"itemData":{"id":83,"type":"book","title":"BayesFactor: omputation of Bayes Factors for Common Designs","version":"R package version 0.9.12-2","URL":"https://CRAN.R-project.org/package=BayesFactor","author":[{"family":"Morey","given":"Richard D."},{"family":"Rouder","given":"Jeffrey N."}],"issued":{"date-parts":[["2015"]]}}}],"schema":"https://github.com/citation-style-language/schema/raw/master/csl-citation.json"} </w:instrText>
      </w:r>
      <w:r w:rsidR="007C4A28">
        <w:fldChar w:fldCharType="separate"/>
      </w:r>
      <w:r w:rsidR="007C4A28" w:rsidRPr="007C4A28">
        <w:rPr>
          <w:rFonts w:ascii="Times New Roman" w:hAnsi="Times New Roman" w:cs="Times New Roman"/>
        </w:rPr>
        <w:t>(Morey &amp; Rouder, 2015)</w:t>
      </w:r>
      <w:r w:rsidR="007C4A28">
        <w:fldChar w:fldCharType="end"/>
      </w:r>
      <w:r w:rsidR="007E18DF">
        <w:t xml:space="preserve">, and the data strongly supported that Paired-Comparison task takes longer than Multi-Items </w:t>
      </w:r>
      <w:r w:rsidR="007D4E19">
        <w:t>Rearrangement</w:t>
      </w:r>
      <w:r w:rsidR="007E18DF">
        <w:t xml:space="preserve"> task</w:t>
      </w:r>
      <w:r w:rsidR="007D4E19">
        <w:t xml:space="preserve"> (</w:t>
      </w:r>
      <m:oMath>
        <m:r>
          <w:rPr>
            <w:rFonts w:ascii="Cambria Math" w:hAnsi="Cambria Math"/>
          </w:rPr>
          <m:t>BF = 313.73</m:t>
        </m:r>
      </m:oMath>
      <w:r w:rsidR="007D4E19">
        <w:t>)</w:t>
      </w:r>
      <w:r w:rsidR="007E18DF">
        <w:t xml:space="preserve">. </w:t>
      </w:r>
    </w:p>
    <w:p w:rsidR="00DE1981" w:rsidRDefault="006C4FFC" w:rsidP="006C4FFC">
      <w:pPr>
        <w:pStyle w:val="Heading1"/>
      </w:pPr>
      <w:r>
        <w:t>Experiment 2</w:t>
      </w:r>
    </w:p>
    <w:p w:rsidR="008005D3" w:rsidRPr="008005D3" w:rsidRDefault="008005D3" w:rsidP="008005D3">
      <w:r>
        <w:t>In Experiment 2, we replicated the sam</w:t>
      </w:r>
      <w:r w:rsidR="00FE4F6C">
        <w:t xml:space="preserve">e method used ion Experiment 1 with different material. </w:t>
      </w:r>
      <w:r w:rsidR="008201FC">
        <w:t xml:space="preserve">The faces in Experiment 1 </w:t>
      </w:r>
      <w:r w:rsidR="003F64FF">
        <w:t>were</w:t>
      </w:r>
      <w:r w:rsidR="008201FC">
        <w:t xml:space="preserve"> defined </w:t>
      </w:r>
      <w:r w:rsidR="003F64FF">
        <w:t xml:space="preserve">with </w:t>
      </w:r>
      <w:r w:rsidR="00F1382E">
        <w:t xml:space="preserve">multiple discrete features. In Experiment 2, we want to test the ability of measuring the similarity matrix with material </w:t>
      </w:r>
      <w:r w:rsidR="001270C0">
        <w:t>with</w:t>
      </w:r>
      <w:r w:rsidR="00F1382E">
        <w:t xml:space="preserve"> continuous feature</w:t>
      </w:r>
      <w:r w:rsidR="001A76C1">
        <w:t xml:space="preserve"> of Multi-Items Rearrangement task</w:t>
      </w:r>
      <w:r w:rsidR="009B2271">
        <w:t>, hence we used color</w:t>
      </w:r>
      <w:r w:rsidR="00AE11FD">
        <w:t xml:space="preserve"> patches</w:t>
      </w:r>
      <w:r w:rsidR="009B2271">
        <w:t xml:space="preserve"> as material.</w:t>
      </w:r>
    </w:p>
    <w:p w:rsidR="00FE0141" w:rsidRDefault="00FE0141" w:rsidP="00FE0141">
      <w:pPr>
        <w:pStyle w:val="Heading3"/>
        <w:ind w:firstLine="0"/>
      </w:pPr>
      <w:r>
        <w:t>Method</w:t>
      </w:r>
    </w:p>
    <w:p w:rsidR="00640194" w:rsidRDefault="00640194" w:rsidP="00640194">
      <w:r w:rsidRPr="00DC7AED">
        <w:rPr>
          <w:rStyle w:val="Heading3Char"/>
        </w:rPr>
        <w:t>Participants.</w:t>
      </w:r>
      <w:r>
        <w:t xml:space="preserve"> Ten students recruited from University of </w:t>
      </w:r>
      <w:r w:rsidRPr="00886A5D">
        <w:t>Zürich</w:t>
      </w:r>
      <w:r>
        <w:t>. Participants were rewarded with course credits or 30 Swiss Francs after completed the experiment.</w:t>
      </w:r>
      <w:r w:rsidR="001C2D1B">
        <w:t xml:space="preserve"> All the participants in Experiment 2 did not participant in Experiment 1.</w:t>
      </w:r>
    </w:p>
    <w:p w:rsidR="00640194" w:rsidRDefault="00640194" w:rsidP="00640194">
      <w:r w:rsidRPr="00F4465A">
        <w:rPr>
          <w:rStyle w:val="Heading3Char"/>
        </w:rPr>
        <w:lastRenderedPageBreak/>
        <w:t>Materials.</w:t>
      </w:r>
      <w:r>
        <w:t xml:space="preserve"> Both Multi-Items Rearrangement task and the Paired-Comparison task shared the same set of stimuli. </w:t>
      </w:r>
      <w:r w:rsidR="00876274">
        <w:t>The faces from the Experiment 1</w:t>
      </w:r>
      <w:r>
        <w:t xml:space="preserve"> </w:t>
      </w:r>
      <w:r w:rsidR="00DB2B56">
        <w:t>were</w:t>
      </w:r>
      <w:r>
        <w:t xml:space="preserve"> used in the practice trials.</w:t>
      </w:r>
      <w:r w:rsidR="00DB2B56">
        <w:t xml:space="preserve"> C</w:t>
      </w:r>
      <w:r w:rsidR="00F05ADD">
        <w:t>olor</w:t>
      </w:r>
      <w:r w:rsidR="00DB2B56">
        <w:t xml:space="preserve"> </w:t>
      </w:r>
      <w:r w:rsidR="00F05ADD">
        <w:t xml:space="preserve">patches </w:t>
      </w:r>
      <w:r w:rsidR="00DB2B56">
        <w:t>were used in the experiment trials.</w:t>
      </w:r>
      <w:r w:rsidR="00F05ADD">
        <w:t xml:space="preserve"> </w:t>
      </w:r>
      <w:r w:rsidR="002D759B">
        <w:t>16</w:t>
      </w:r>
      <w:r w:rsidR="00E5442F">
        <w:t xml:space="preserve"> </w:t>
      </w:r>
      <w:r w:rsidR="00AE0F46">
        <w:t xml:space="preserve">color patches were selected from a color wheel which was created in the CIE L*a*b* color space with radius of 60 and centered at luminance set to 70, </w:t>
      </w:r>
      <m:oMath>
        <m:r>
          <w:rPr>
            <w:rFonts w:ascii="Cambria Math" w:hAnsi="Cambria Math"/>
          </w:rPr>
          <m:t>a</m:t>
        </m:r>
      </m:oMath>
      <w:r w:rsidR="00AE0F46">
        <w:t xml:space="preserve"> set to 20, and </w:t>
      </w:r>
      <m:oMath>
        <m:r>
          <w:rPr>
            <w:rFonts w:ascii="Cambria Math" w:hAnsi="Cambria Math"/>
          </w:rPr>
          <m:t>b</m:t>
        </m:r>
      </m:oMath>
      <w:r w:rsidR="00AE0F46">
        <w:t xml:space="preserve"> set to 38.</w:t>
      </w:r>
      <w:r w:rsidR="00DB2B56">
        <w:t xml:space="preserve"> </w:t>
      </w:r>
      <w:r w:rsidR="000C2BA0">
        <w:t xml:space="preserve">All the color patches were evenly distributed on the color wheel. </w:t>
      </w:r>
      <w:r>
        <w:t xml:space="preserve">The </w:t>
      </w:r>
      <w:r w:rsidR="001164B2">
        <w:t>color patches</w:t>
      </w:r>
      <w:r>
        <w:t xml:space="preserve"> are shown in the Figure </w:t>
      </w:r>
      <w:r w:rsidR="001164B2">
        <w:t>3</w:t>
      </w:r>
      <w:r>
        <w:t>.</w:t>
      </w:r>
    </w:p>
    <w:p w:rsidR="00640194" w:rsidRPr="00640194" w:rsidRDefault="00640194" w:rsidP="00640194">
      <w:pPr>
        <w:rPr>
          <w:rFonts w:eastAsia="MS Mincho"/>
        </w:rPr>
      </w:pPr>
      <w:r w:rsidRPr="009735AB">
        <w:rPr>
          <w:rStyle w:val="Heading3Char"/>
        </w:rPr>
        <w:t>Procedure.</w:t>
      </w:r>
    </w:p>
    <w:p w:rsidR="00FE0141" w:rsidRPr="00FE0141" w:rsidRDefault="00FE0141" w:rsidP="00FE0141">
      <w:pPr>
        <w:pStyle w:val="Heading2"/>
      </w:pPr>
      <w:r>
        <w:t>Results</w:t>
      </w:r>
    </w:p>
    <w:sdt>
      <w:sdtPr>
        <w:rPr>
          <w:rFonts w:asciiTheme="minorHAnsi" w:eastAsiaTheme="minorEastAsia" w:hAnsiTheme="minorHAnsi" w:cstheme="minorBidi"/>
        </w:rPr>
        <w:id w:val="62297111"/>
        <w:docPartObj>
          <w:docPartGallery w:val="Bibliographies"/>
          <w:docPartUnique/>
        </w:docPartObj>
      </w:sdtPr>
      <w:sdtEndPr/>
      <w:sdtContent>
        <w:p w:rsidR="0031081F" w:rsidRDefault="00D74F71">
          <w:pPr>
            <w:pStyle w:val="SectionTitle"/>
          </w:pPr>
          <w:r>
            <w:t>References</w:t>
          </w:r>
        </w:p>
        <w:sdt>
          <w:sdtPr>
            <w:id w:val="-573587230"/>
            <w:bibliography/>
          </w:sdtPr>
          <w:sdtEndPr/>
          <w:sdtContent>
            <w:p w:rsidR="0031081F" w:rsidRDefault="00D74F71">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31081F" w:rsidRDefault="00D74F71">
              <w:pPr>
                <w:pStyle w:val="Bibliography"/>
                <w:rPr>
                  <w:noProof/>
                </w:rPr>
              </w:pPr>
              <w:r>
                <w:rPr>
                  <w:noProof/>
                </w:rPr>
                <w:t xml:space="preserve">Last Name, F. M. (Year). </w:t>
              </w:r>
              <w:r>
                <w:rPr>
                  <w:i/>
                  <w:iCs/>
                  <w:noProof/>
                </w:rPr>
                <w:t>Book Title.</w:t>
              </w:r>
              <w:r>
                <w:rPr>
                  <w:noProof/>
                </w:rPr>
                <w:t xml:space="preserve"> City Name: Publisher Name.</w:t>
              </w:r>
            </w:p>
            <w:p w:rsidR="0031081F" w:rsidRDefault="00D74F71">
              <w:r>
                <w:rPr>
                  <w:b/>
                  <w:bCs/>
                  <w:noProof/>
                </w:rPr>
                <w:fldChar w:fldCharType="end"/>
              </w:r>
            </w:p>
          </w:sdtContent>
        </w:sdt>
      </w:sdtContent>
    </w:sdt>
    <w:p w:rsidR="0031081F" w:rsidRDefault="00D74F71">
      <w:pPr>
        <w:pStyle w:val="SectionTitle"/>
      </w:pPr>
      <w:r>
        <w:lastRenderedPageBreak/>
        <w:t>Footnotes</w:t>
      </w:r>
    </w:p>
    <w:p w:rsidR="0031081F" w:rsidRDefault="00D74F71">
      <w:r>
        <w:rPr>
          <w:rStyle w:val="FootnoteReference"/>
        </w:rPr>
        <w:t>1</w:t>
      </w:r>
      <w:sdt>
        <w:sdtPr>
          <w:id w:val="1069077422"/>
          <w:placeholder>
            <w:docPart w:val="C8D21132D23A4D17BB23E3BECB243CF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31081F" w:rsidRDefault="00D74F71">
      <w:pPr>
        <w:pStyle w:val="SectionTitle"/>
      </w:pPr>
      <w:r>
        <w:lastRenderedPageBreak/>
        <w:t>Tables</w:t>
      </w:r>
    </w:p>
    <w:p w:rsidR="0031081F" w:rsidRDefault="00D74F71">
      <w:pPr>
        <w:pStyle w:val="NoSpacing"/>
      </w:pPr>
      <w:r>
        <w:t>Table 1</w:t>
      </w:r>
    </w:p>
    <w:p w:rsidR="0031081F" w:rsidRDefault="00C5688D">
      <w:pPr>
        <w:pStyle w:val="NoSpacing"/>
      </w:pPr>
      <w:r>
        <w:rPr>
          <w:rStyle w:val="Emphasis"/>
        </w:rPr>
        <w:t>Reliability</w:t>
      </w:r>
      <w:r w:rsidR="00DD599D">
        <w:rPr>
          <w:rStyle w:val="Emphasis"/>
        </w:rPr>
        <w:t xml:space="preserve"> and Validity</w:t>
      </w:r>
      <w:r>
        <w:rPr>
          <w:rStyle w:val="Emphasis"/>
        </w:rPr>
        <w:t xml:space="preserve"> of </w:t>
      </w:r>
      <w:r w:rsidR="00DF57FD">
        <w:rPr>
          <w:rStyle w:val="Emphasis"/>
        </w:rPr>
        <w:t>Experiment</w:t>
      </w:r>
      <w:r>
        <w:rPr>
          <w:rStyle w:val="Emphasis"/>
        </w:rPr>
        <w:t xml:space="preserve"> 1</w:t>
      </w:r>
    </w:p>
    <w:tbl>
      <w:tblPr>
        <w:tblStyle w:val="APAReport"/>
        <w:tblW w:w="5000" w:type="pct"/>
        <w:tblLook w:val="04A0" w:firstRow="1" w:lastRow="0" w:firstColumn="1" w:lastColumn="0" w:noHBand="0" w:noVBand="1"/>
      </w:tblPr>
      <w:tblGrid>
        <w:gridCol w:w="1256"/>
        <w:gridCol w:w="2145"/>
        <w:gridCol w:w="3119"/>
        <w:gridCol w:w="2840"/>
      </w:tblGrid>
      <w:tr w:rsidR="007D0C11" w:rsidTr="00B825A4">
        <w:trPr>
          <w:cnfStyle w:val="100000000000" w:firstRow="1" w:lastRow="0" w:firstColumn="0" w:lastColumn="0" w:oddVBand="0" w:evenVBand="0" w:oddHBand="0" w:evenHBand="0" w:firstRowFirstColumn="0" w:firstRowLastColumn="0" w:lastRowFirstColumn="0" w:lastRowLastColumn="0"/>
        </w:trPr>
        <w:tc>
          <w:tcPr>
            <w:tcW w:w="671" w:type="pct"/>
          </w:tcPr>
          <w:p w:rsidR="007D0C11" w:rsidRDefault="007D0C11" w:rsidP="008A66C1">
            <w:pPr>
              <w:pStyle w:val="NoSpacing"/>
              <w:jc w:val="center"/>
            </w:pPr>
            <w:r>
              <w:t>Participant</w:t>
            </w:r>
          </w:p>
        </w:tc>
        <w:tc>
          <w:tcPr>
            <w:tcW w:w="1146" w:type="pct"/>
          </w:tcPr>
          <w:p w:rsidR="007D0C11" w:rsidRDefault="007D0C11" w:rsidP="007D0C11">
            <w:pPr>
              <w:pStyle w:val="NoSpacing"/>
              <w:jc w:val="center"/>
            </w:pPr>
            <w:r>
              <w:t>Paired-Comparison</w:t>
            </w:r>
          </w:p>
        </w:tc>
        <w:tc>
          <w:tcPr>
            <w:tcW w:w="1666" w:type="pct"/>
          </w:tcPr>
          <w:p w:rsidR="007D0C11" w:rsidRDefault="001049B3" w:rsidP="001049B3">
            <w:pPr>
              <w:pStyle w:val="NoSpacing"/>
              <w:jc w:val="center"/>
            </w:pPr>
            <w:r>
              <w:t>Multi-Items Rearrangement</w:t>
            </w:r>
          </w:p>
        </w:tc>
        <w:tc>
          <w:tcPr>
            <w:tcW w:w="1517" w:type="pct"/>
          </w:tcPr>
          <w:p w:rsidR="007D0C11" w:rsidRDefault="00E31ABE" w:rsidP="00982576">
            <w:pPr>
              <w:pStyle w:val="NoSpacing"/>
              <w:jc w:val="center"/>
            </w:pPr>
            <w:r>
              <w:t>Validity</w:t>
            </w:r>
          </w:p>
        </w:tc>
      </w:tr>
      <w:tr w:rsidR="007D0C11" w:rsidTr="00B825A4">
        <w:tc>
          <w:tcPr>
            <w:tcW w:w="671" w:type="pct"/>
          </w:tcPr>
          <w:p w:rsidR="007D0C11" w:rsidRDefault="007D0C11" w:rsidP="008A66C1">
            <w:pPr>
              <w:pStyle w:val="NoSpacing"/>
              <w:jc w:val="right"/>
            </w:pPr>
            <w:r>
              <w:t>1</w:t>
            </w:r>
          </w:p>
        </w:tc>
        <w:tc>
          <w:tcPr>
            <w:tcW w:w="1146" w:type="pct"/>
          </w:tcPr>
          <w:p w:rsidR="007D0C11" w:rsidRDefault="007D0C11" w:rsidP="00B825A4">
            <w:pPr>
              <w:pStyle w:val="NoSpacing"/>
              <w:jc w:val="right"/>
            </w:pPr>
            <w:r w:rsidRPr="0049710E">
              <w:t>0.9</w:t>
            </w:r>
            <w:r w:rsidR="00B825A4">
              <w:t>8</w:t>
            </w:r>
          </w:p>
        </w:tc>
        <w:tc>
          <w:tcPr>
            <w:tcW w:w="1666" w:type="pct"/>
          </w:tcPr>
          <w:p w:rsidR="007D0C11" w:rsidRDefault="007D0C11" w:rsidP="00A42FD0">
            <w:pPr>
              <w:pStyle w:val="NoSpacing"/>
              <w:jc w:val="right"/>
            </w:pPr>
            <w:r w:rsidRPr="0049710E">
              <w:t>0.9</w:t>
            </w:r>
            <w:r w:rsidR="00A42FD0">
              <w:t>1</w:t>
            </w:r>
          </w:p>
        </w:tc>
        <w:tc>
          <w:tcPr>
            <w:tcW w:w="1517" w:type="pct"/>
          </w:tcPr>
          <w:p w:rsidR="007D0C11" w:rsidRPr="0049710E" w:rsidRDefault="00B27DC6" w:rsidP="00982576">
            <w:pPr>
              <w:pStyle w:val="NoSpacing"/>
              <w:jc w:val="right"/>
            </w:pPr>
            <w:r>
              <w:t>0.95</w:t>
            </w:r>
          </w:p>
        </w:tc>
      </w:tr>
      <w:tr w:rsidR="007D0C11" w:rsidTr="00B825A4">
        <w:tc>
          <w:tcPr>
            <w:tcW w:w="671" w:type="pct"/>
          </w:tcPr>
          <w:p w:rsidR="007D0C11" w:rsidRDefault="007D0C11" w:rsidP="008A66C1">
            <w:pPr>
              <w:pStyle w:val="NoSpacing"/>
              <w:jc w:val="right"/>
            </w:pPr>
            <w:r>
              <w:t>2</w:t>
            </w:r>
          </w:p>
        </w:tc>
        <w:tc>
          <w:tcPr>
            <w:tcW w:w="1146" w:type="pct"/>
          </w:tcPr>
          <w:p w:rsidR="007D0C11" w:rsidRDefault="007D0C11" w:rsidP="00B825A4">
            <w:pPr>
              <w:pStyle w:val="NoSpacing"/>
              <w:jc w:val="right"/>
            </w:pPr>
            <w:r w:rsidRPr="0049710E">
              <w:t>0.8</w:t>
            </w:r>
            <w:r w:rsidR="00B825A4">
              <w:t>7</w:t>
            </w:r>
          </w:p>
        </w:tc>
        <w:tc>
          <w:tcPr>
            <w:tcW w:w="1666" w:type="pct"/>
          </w:tcPr>
          <w:p w:rsidR="007D0C11" w:rsidRDefault="007D0C11" w:rsidP="00A42FD0">
            <w:pPr>
              <w:pStyle w:val="NoSpacing"/>
              <w:jc w:val="right"/>
            </w:pPr>
            <w:r w:rsidRPr="0049710E">
              <w:t>0.84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3</w:t>
            </w:r>
          </w:p>
        </w:tc>
        <w:tc>
          <w:tcPr>
            <w:tcW w:w="1146" w:type="pct"/>
          </w:tcPr>
          <w:p w:rsidR="007D0C11" w:rsidRDefault="007D0C11" w:rsidP="00B825A4">
            <w:pPr>
              <w:pStyle w:val="NoSpacing"/>
              <w:jc w:val="right"/>
            </w:pPr>
            <w:r w:rsidRPr="0049710E">
              <w:t>0.7</w:t>
            </w:r>
            <w:r w:rsidR="00B825A4">
              <w:t>8</w:t>
            </w:r>
          </w:p>
        </w:tc>
        <w:tc>
          <w:tcPr>
            <w:tcW w:w="1666" w:type="pct"/>
          </w:tcPr>
          <w:p w:rsidR="007D0C11" w:rsidRDefault="007D0C11" w:rsidP="00A42FD0">
            <w:pPr>
              <w:pStyle w:val="NoSpacing"/>
              <w:jc w:val="right"/>
            </w:pPr>
            <w:r w:rsidRPr="0049710E">
              <w:t>0.</w:t>
            </w:r>
            <w:r w:rsidR="00A42FD0">
              <w:t>80</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Default="007D0C11" w:rsidP="008A66C1">
            <w:pPr>
              <w:pStyle w:val="NoSpacing"/>
              <w:jc w:val="right"/>
            </w:pPr>
            <w:r>
              <w:t>4</w:t>
            </w:r>
          </w:p>
        </w:tc>
        <w:tc>
          <w:tcPr>
            <w:tcW w:w="1146" w:type="pct"/>
          </w:tcPr>
          <w:p w:rsidR="007D0C11" w:rsidRDefault="007D0C11" w:rsidP="00B825A4">
            <w:pPr>
              <w:pStyle w:val="NoSpacing"/>
              <w:jc w:val="right"/>
            </w:pPr>
            <w:r w:rsidRPr="0049710E">
              <w:t>0.79</w:t>
            </w:r>
          </w:p>
        </w:tc>
        <w:tc>
          <w:tcPr>
            <w:tcW w:w="1666" w:type="pct"/>
          </w:tcPr>
          <w:p w:rsidR="007D0C11" w:rsidRDefault="007D0C11" w:rsidP="00A42FD0">
            <w:pPr>
              <w:pStyle w:val="NoSpacing"/>
              <w:jc w:val="right"/>
            </w:pPr>
            <w:r w:rsidRPr="0049710E">
              <w:t>0.8</w:t>
            </w:r>
            <w:r w:rsidR="00A42FD0">
              <w:t>1</w:t>
            </w:r>
          </w:p>
        </w:tc>
        <w:tc>
          <w:tcPr>
            <w:tcW w:w="1517" w:type="pct"/>
          </w:tcPr>
          <w:p w:rsidR="007D0C11" w:rsidRPr="0049710E" w:rsidRDefault="00B27DC6" w:rsidP="00982576">
            <w:pPr>
              <w:pStyle w:val="NoSpacing"/>
              <w:jc w:val="right"/>
            </w:pPr>
            <w:r>
              <w:t>0.85</w:t>
            </w:r>
          </w:p>
        </w:tc>
      </w:tr>
      <w:tr w:rsidR="007D0C11" w:rsidTr="00B825A4">
        <w:tc>
          <w:tcPr>
            <w:tcW w:w="671" w:type="pct"/>
          </w:tcPr>
          <w:p w:rsidR="007D0C11" w:rsidRDefault="007D0C11" w:rsidP="008A66C1">
            <w:pPr>
              <w:pStyle w:val="NoSpacing"/>
              <w:jc w:val="right"/>
            </w:pPr>
            <w:r>
              <w:t>5</w:t>
            </w:r>
          </w:p>
        </w:tc>
        <w:tc>
          <w:tcPr>
            <w:tcW w:w="1146" w:type="pct"/>
          </w:tcPr>
          <w:p w:rsidR="007D0C11" w:rsidRDefault="007D0C11" w:rsidP="00B825A4">
            <w:pPr>
              <w:pStyle w:val="NoSpacing"/>
              <w:jc w:val="right"/>
            </w:pPr>
            <w:r w:rsidRPr="0049710E">
              <w:t>0.87</w:t>
            </w:r>
          </w:p>
        </w:tc>
        <w:tc>
          <w:tcPr>
            <w:tcW w:w="1666" w:type="pct"/>
          </w:tcPr>
          <w:p w:rsidR="007D0C11" w:rsidRDefault="007D0C11" w:rsidP="00A42FD0">
            <w:pPr>
              <w:pStyle w:val="NoSpacing"/>
              <w:jc w:val="right"/>
            </w:pPr>
            <w:r w:rsidRPr="0049710E">
              <w:t>0.9</w:t>
            </w:r>
            <w:r w:rsidR="00A42FD0">
              <w:t>6</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Default="007D0C11" w:rsidP="008A66C1">
            <w:pPr>
              <w:pStyle w:val="NoSpacing"/>
              <w:jc w:val="right"/>
            </w:pPr>
            <w:r>
              <w:t>6</w:t>
            </w:r>
          </w:p>
        </w:tc>
        <w:tc>
          <w:tcPr>
            <w:tcW w:w="1146" w:type="pct"/>
          </w:tcPr>
          <w:p w:rsidR="007D0C11" w:rsidRDefault="007D0C11" w:rsidP="00B825A4">
            <w:pPr>
              <w:pStyle w:val="NoSpacing"/>
              <w:jc w:val="right"/>
            </w:pPr>
            <w:r w:rsidRPr="0049710E">
              <w:t>0.81</w:t>
            </w:r>
          </w:p>
        </w:tc>
        <w:tc>
          <w:tcPr>
            <w:tcW w:w="1666" w:type="pct"/>
          </w:tcPr>
          <w:p w:rsidR="007D0C11" w:rsidRDefault="007D0C11" w:rsidP="00A42FD0">
            <w:pPr>
              <w:pStyle w:val="NoSpacing"/>
              <w:jc w:val="right"/>
            </w:pPr>
            <w:r w:rsidRPr="0049710E">
              <w:t>0.74</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7</w:t>
            </w:r>
          </w:p>
        </w:tc>
        <w:tc>
          <w:tcPr>
            <w:tcW w:w="1146" w:type="pct"/>
          </w:tcPr>
          <w:p w:rsidR="007D0C11" w:rsidRPr="0049710E" w:rsidRDefault="007D0C11" w:rsidP="00B825A4">
            <w:pPr>
              <w:pStyle w:val="NoSpacing"/>
              <w:jc w:val="right"/>
            </w:pPr>
            <w:r w:rsidRPr="0049710E">
              <w:t>0.94</w:t>
            </w:r>
          </w:p>
        </w:tc>
        <w:tc>
          <w:tcPr>
            <w:tcW w:w="1666" w:type="pct"/>
          </w:tcPr>
          <w:p w:rsidR="007D0C11" w:rsidRPr="0049710E" w:rsidRDefault="007D0C11" w:rsidP="00A42FD0">
            <w:pPr>
              <w:pStyle w:val="NoSpacing"/>
              <w:jc w:val="right"/>
            </w:pPr>
            <w:r w:rsidRPr="0049710E">
              <w:t>0.8</w:t>
            </w:r>
            <w:r w:rsidR="00A42FD0">
              <w:t>3</w:t>
            </w:r>
          </w:p>
        </w:tc>
        <w:tc>
          <w:tcPr>
            <w:tcW w:w="1517" w:type="pct"/>
          </w:tcPr>
          <w:p w:rsidR="007D0C11" w:rsidRPr="0049710E" w:rsidRDefault="00B27DC6" w:rsidP="00982576">
            <w:pPr>
              <w:pStyle w:val="NoSpacing"/>
              <w:jc w:val="right"/>
            </w:pPr>
            <w:r>
              <w:t>0.87</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8</w:t>
            </w:r>
          </w:p>
        </w:tc>
        <w:tc>
          <w:tcPr>
            <w:tcW w:w="1146" w:type="pct"/>
          </w:tcPr>
          <w:p w:rsidR="007D0C11" w:rsidRPr="0049710E" w:rsidRDefault="007D0C11" w:rsidP="00B825A4">
            <w:pPr>
              <w:pStyle w:val="NoSpacing"/>
              <w:jc w:val="right"/>
            </w:pPr>
            <w:r w:rsidRPr="0049710E">
              <w:t>0.95</w:t>
            </w:r>
          </w:p>
        </w:tc>
        <w:tc>
          <w:tcPr>
            <w:tcW w:w="1666" w:type="pct"/>
          </w:tcPr>
          <w:p w:rsidR="007D0C11" w:rsidRPr="0049710E" w:rsidRDefault="007D0C11" w:rsidP="00A42FD0">
            <w:pPr>
              <w:pStyle w:val="NoSpacing"/>
              <w:jc w:val="right"/>
            </w:pPr>
            <w:r w:rsidRPr="0049710E">
              <w:t>0.86</w:t>
            </w:r>
          </w:p>
        </w:tc>
        <w:tc>
          <w:tcPr>
            <w:tcW w:w="1517" w:type="pct"/>
          </w:tcPr>
          <w:p w:rsidR="007D0C11" w:rsidRPr="0049710E" w:rsidRDefault="00B27DC6" w:rsidP="00982576">
            <w:pPr>
              <w:pStyle w:val="NoSpacing"/>
              <w:jc w:val="right"/>
            </w:pPr>
            <w:r>
              <w:t>0.86</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9</w:t>
            </w:r>
          </w:p>
        </w:tc>
        <w:tc>
          <w:tcPr>
            <w:tcW w:w="1146" w:type="pct"/>
          </w:tcPr>
          <w:p w:rsidR="007D0C11" w:rsidRPr="0049710E" w:rsidRDefault="007D0C11" w:rsidP="00B825A4">
            <w:pPr>
              <w:pStyle w:val="NoSpacing"/>
              <w:jc w:val="right"/>
            </w:pPr>
            <w:r w:rsidRPr="0049710E">
              <w:t>0.9</w:t>
            </w:r>
            <w:r w:rsidR="00B825A4">
              <w:t>1</w:t>
            </w:r>
          </w:p>
        </w:tc>
        <w:tc>
          <w:tcPr>
            <w:tcW w:w="1666" w:type="pct"/>
          </w:tcPr>
          <w:p w:rsidR="007D0C11" w:rsidRPr="0049710E" w:rsidRDefault="007D0C11" w:rsidP="00A42FD0">
            <w:pPr>
              <w:pStyle w:val="NoSpacing"/>
              <w:jc w:val="right"/>
            </w:pPr>
            <w:r w:rsidRPr="0049710E">
              <w:t>0.95</w:t>
            </w:r>
          </w:p>
        </w:tc>
        <w:tc>
          <w:tcPr>
            <w:tcW w:w="1517" w:type="pct"/>
          </w:tcPr>
          <w:p w:rsidR="007D0C11" w:rsidRPr="0049710E" w:rsidRDefault="00B27DC6" w:rsidP="00982576">
            <w:pPr>
              <w:pStyle w:val="NoSpacing"/>
              <w:jc w:val="right"/>
            </w:pPr>
            <w:r>
              <w:t>0.91</w:t>
            </w:r>
          </w:p>
        </w:tc>
      </w:tr>
      <w:tr w:rsidR="007D0C11" w:rsidTr="00B825A4">
        <w:tc>
          <w:tcPr>
            <w:tcW w:w="671" w:type="pct"/>
          </w:tcPr>
          <w:p w:rsidR="007D0C11" w:rsidRPr="00C530F8" w:rsidRDefault="007D0C11" w:rsidP="008A66C1">
            <w:pPr>
              <w:pStyle w:val="NoSpacing"/>
              <w:jc w:val="right"/>
              <w:rPr>
                <w:rFonts w:eastAsia="MS Gothic"/>
              </w:rPr>
            </w:pPr>
            <w:r>
              <w:rPr>
                <w:rFonts w:eastAsia="MS Gothic" w:hint="eastAsia"/>
              </w:rPr>
              <w:t>10</w:t>
            </w:r>
          </w:p>
        </w:tc>
        <w:tc>
          <w:tcPr>
            <w:tcW w:w="1146" w:type="pct"/>
          </w:tcPr>
          <w:p w:rsidR="007D0C11" w:rsidRPr="0049710E" w:rsidRDefault="007D0C11" w:rsidP="00DD26DE">
            <w:pPr>
              <w:pStyle w:val="NoSpacing"/>
              <w:jc w:val="right"/>
            </w:pPr>
            <w:r w:rsidRPr="0049710E">
              <w:t>0.8</w:t>
            </w:r>
            <w:r w:rsidR="00DD26DE">
              <w:t>5</w:t>
            </w:r>
          </w:p>
        </w:tc>
        <w:tc>
          <w:tcPr>
            <w:tcW w:w="1666" w:type="pct"/>
          </w:tcPr>
          <w:p w:rsidR="007D0C11" w:rsidRPr="0049710E" w:rsidRDefault="007D0C11" w:rsidP="00A42FD0">
            <w:pPr>
              <w:pStyle w:val="NoSpacing"/>
              <w:jc w:val="right"/>
            </w:pPr>
            <w:r w:rsidRPr="0049710E">
              <w:t>0.7</w:t>
            </w:r>
            <w:r w:rsidR="00A42FD0">
              <w:t>1</w:t>
            </w:r>
          </w:p>
        </w:tc>
        <w:tc>
          <w:tcPr>
            <w:tcW w:w="1517" w:type="pct"/>
          </w:tcPr>
          <w:p w:rsidR="007D0C11" w:rsidRPr="0049710E" w:rsidRDefault="00B27DC6" w:rsidP="00982576">
            <w:pPr>
              <w:pStyle w:val="NoSpacing"/>
              <w:jc w:val="right"/>
            </w:pPr>
            <w:r>
              <w:t>0.89</w:t>
            </w:r>
          </w:p>
        </w:tc>
      </w:tr>
    </w:tbl>
    <w:p w:rsidR="00AA6790" w:rsidRDefault="00AA6790">
      <w:pPr>
        <w:pStyle w:val="TableFigure"/>
        <w:rPr>
          <w:rStyle w:val="Emphasis"/>
        </w:rPr>
      </w:pPr>
    </w:p>
    <w:p w:rsidR="00AA6790" w:rsidRDefault="00AA6790" w:rsidP="00AA6790">
      <w:pPr>
        <w:rPr>
          <w:rStyle w:val="Emphasis"/>
        </w:rPr>
      </w:pPr>
      <w:r>
        <w:rPr>
          <w:rStyle w:val="Emphasis"/>
        </w:rPr>
        <w:br w:type="page"/>
      </w:r>
    </w:p>
    <w:p w:rsidR="00AA6790" w:rsidRDefault="00AA6790" w:rsidP="00AA6790">
      <w:pPr>
        <w:pStyle w:val="NoSpacing"/>
      </w:pPr>
      <w:r>
        <w:lastRenderedPageBreak/>
        <w:t xml:space="preserve">Table </w:t>
      </w:r>
      <w:r w:rsidR="004A6FD1">
        <w:t>2</w:t>
      </w:r>
    </w:p>
    <w:p w:rsidR="00AA6790" w:rsidRDefault="00F373F2" w:rsidP="00AA6790">
      <w:pPr>
        <w:pStyle w:val="NoSpacing"/>
      </w:pPr>
      <w:r>
        <w:rPr>
          <w:rStyle w:val="Emphasis"/>
        </w:rPr>
        <w:t>The RGB values</w:t>
      </w:r>
      <w:r w:rsidR="004B0FD7">
        <w:rPr>
          <w:rStyle w:val="Emphasis"/>
        </w:rPr>
        <w:t xml:space="preserve"> of the color patches</w:t>
      </w:r>
      <w:r>
        <w:rPr>
          <w:rStyle w:val="Emphasis"/>
        </w:rPr>
        <w:t xml:space="preserve"> used in Experiment 2.</w:t>
      </w:r>
    </w:p>
    <w:tbl>
      <w:tblPr>
        <w:tblStyle w:val="APAReport"/>
        <w:tblW w:w="1666" w:type="pct"/>
        <w:tblLook w:val="04A0" w:firstRow="1" w:lastRow="0" w:firstColumn="1" w:lastColumn="0" w:noHBand="0" w:noVBand="1"/>
      </w:tblPr>
      <w:tblGrid>
        <w:gridCol w:w="992"/>
        <w:gridCol w:w="709"/>
        <w:gridCol w:w="709"/>
        <w:gridCol w:w="709"/>
      </w:tblGrid>
      <w:tr w:rsidR="00795BD9" w:rsidTr="00795BD9">
        <w:trPr>
          <w:cnfStyle w:val="100000000000" w:firstRow="1" w:lastRow="0" w:firstColumn="0" w:lastColumn="0" w:oddVBand="0" w:evenVBand="0" w:oddHBand="0" w:evenHBand="0" w:firstRowFirstColumn="0" w:firstRowLastColumn="0" w:lastRowFirstColumn="0" w:lastRowLastColumn="0"/>
        </w:trPr>
        <w:tc>
          <w:tcPr>
            <w:tcW w:w="1590" w:type="pct"/>
          </w:tcPr>
          <w:p w:rsidR="00AA6790" w:rsidRDefault="001771AE" w:rsidP="00D232D5">
            <w:pPr>
              <w:pStyle w:val="NoSpacing"/>
              <w:jc w:val="center"/>
            </w:pPr>
            <w:r>
              <w:t>Item</w:t>
            </w:r>
          </w:p>
        </w:tc>
        <w:tc>
          <w:tcPr>
            <w:tcW w:w="1137" w:type="pct"/>
          </w:tcPr>
          <w:p w:rsidR="00AA6790" w:rsidRDefault="0015025B" w:rsidP="00D232D5">
            <w:pPr>
              <w:pStyle w:val="NoSpacing"/>
              <w:jc w:val="center"/>
            </w:pPr>
            <w:r>
              <w:t>R</w:t>
            </w:r>
          </w:p>
        </w:tc>
        <w:tc>
          <w:tcPr>
            <w:tcW w:w="1137" w:type="pct"/>
          </w:tcPr>
          <w:p w:rsidR="00AA6790" w:rsidRDefault="0015025B" w:rsidP="00D232D5">
            <w:pPr>
              <w:pStyle w:val="NoSpacing"/>
              <w:jc w:val="center"/>
            </w:pPr>
            <w:r>
              <w:t>G</w:t>
            </w:r>
          </w:p>
        </w:tc>
        <w:tc>
          <w:tcPr>
            <w:tcW w:w="1137" w:type="pct"/>
          </w:tcPr>
          <w:p w:rsidR="00AA6790" w:rsidRPr="0015025B" w:rsidRDefault="0015025B" w:rsidP="00D232D5">
            <w:pPr>
              <w:pStyle w:val="NoSpacing"/>
              <w:jc w:val="center"/>
            </w:pPr>
            <w:r>
              <w:t>B</w:t>
            </w:r>
          </w:p>
        </w:tc>
      </w:tr>
      <w:tr w:rsidR="00795BD9" w:rsidTr="00795BD9">
        <w:tc>
          <w:tcPr>
            <w:tcW w:w="1590" w:type="pct"/>
          </w:tcPr>
          <w:p w:rsidR="00AA6790" w:rsidRDefault="00AA6790" w:rsidP="00D232D5">
            <w:pPr>
              <w:pStyle w:val="NoSpacing"/>
              <w:jc w:val="right"/>
            </w:pPr>
            <w:r>
              <w:t>1</w:t>
            </w:r>
          </w:p>
        </w:tc>
        <w:tc>
          <w:tcPr>
            <w:tcW w:w="1137" w:type="pct"/>
          </w:tcPr>
          <w:p w:rsidR="00AA6790" w:rsidRDefault="00D1197C" w:rsidP="00D232D5">
            <w:pPr>
              <w:pStyle w:val="NoSpacing"/>
              <w:jc w:val="right"/>
            </w:pPr>
            <w:r>
              <w:t>255</w:t>
            </w:r>
          </w:p>
        </w:tc>
        <w:tc>
          <w:tcPr>
            <w:tcW w:w="1137" w:type="pct"/>
          </w:tcPr>
          <w:p w:rsidR="00AA6790" w:rsidRDefault="00D1197C" w:rsidP="00D232D5">
            <w:pPr>
              <w:pStyle w:val="NoSpacing"/>
              <w:jc w:val="right"/>
            </w:pPr>
            <w:r>
              <w:t>90</w:t>
            </w:r>
          </w:p>
        </w:tc>
        <w:tc>
          <w:tcPr>
            <w:tcW w:w="1137" w:type="pct"/>
          </w:tcPr>
          <w:p w:rsidR="00AA6790" w:rsidRPr="0049710E" w:rsidRDefault="007118AC" w:rsidP="00D232D5">
            <w:pPr>
              <w:pStyle w:val="NoSpacing"/>
              <w:jc w:val="right"/>
            </w:pPr>
            <w:r>
              <w:t>109</w:t>
            </w:r>
          </w:p>
        </w:tc>
      </w:tr>
      <w:tr w:rsidR="00795BD9" w:rsidTr="00795BD9">
        <w:tc>
          <w:tcPr>
            <w:tcW w:w="1590" w:type="pct"/>
          </w:tcPr>
          <w:p w:rsidR="00AA6790" w:rsidRDefault="00AA6790" w:rsidP="00D232D5">
            <w:pPr>
              <w:pStyle w:val="NoSpacing"/>
              <w:jc w:val="right"/>
            </w:pPr>
            <w:r>
              <w:t>2</w:t>
            </w:r>
          </w:p>
        </w:tc>
        <w:tc>
          <w:tcPr>
            <w:tcW w:w="1137" w:type="pct"/>
          </w:tcPr>
          <w:p w:rsidR="00AA6790" w:rsidRDefault="00D1197C" w:rsidP="00D232D5">
            <w:pPr>
              <w:pStyle w:val="NoSpacing"/>
              <w:jc w:val="right"/>
            </w:pPr>
            <w:r>
              <w:t>255</w:t>
            </w:r>
          </w:p>
        </w:tc>
        <w:tc>
          <w:tcPr>
            <w:tcW w:w="1137" w:type="pct"/>
          </w:tcPr>
          <w:p w:rsidR="00AA6790" w:rsidRDefault="00D1197C" w:rsidP="00D232D5">
            <w:pPr>
              <w:pStyle w:val="NoSpacing"/>
              <w:jc w:val="right"/>
            </w:pPr>
            <w:r>
              <w:t>97</w:t>
            </w:r>
          </w:p>
        </w:tc>
        <w:tc>
          <w:tcPr>
            <w:tcW w:w="1137" w:type="pct"/>
          </w:tcPr>
          <w:p w:rsidR="00AA6790" w:rsidRPr="0049710E" w:rsidRDefault="007118AC" w:rsidP="00D232D5">
            <w:pPr>
              <w:pStyle w:val="NoSpacing"/>
              <w:jc w:val="right"/>
            </w:pPr>
            <w:r>
              <w:t>65</w:t>
            </w:r>
          </w:p>
        </w:tc>
      </w:tr>
      <w:tr w:rsidR="00795BD9" w:rsidTr="00795BD9">
        <w:tc>
          <w:tcPr>
            <w:tcW w:w="1590" w:type="pct"/>
          </w:tcPr>
          <w:p w:rsidR="00AA6790" w:rsidRDefault="00AA6790" w:rsidP="00D232D5">
            <w:pPr>
              <w:pStyle w:val="NoSpacing"/>
              <w:jc w:val="right"/>
            </w:pPr>
            <w:r>
              <w:t>3</w:t>
            </w:r>
          </w:p>
        </w:tc>
        <w:tc>
          <w:tcPr>
            <w:tcW w:w="1137" w:type="pct"/>
          </w:tcPr>
          <w:p w:rsidR="00AA6790" w:rsidRDefault="00D1197C" w:rsidP="00D232D5">
            <w:pPr>
              <w:pStyle w:val="NoSpacing"/>
              <w:jc w:val="right"/>
            </w:pPr>
            <w:r>
              <w:t>255</w:t>
            </w:r>
          </w:p>
        </w:tc>
        <w:tc>
          <w:tcPr>
            <w:tcW w:w="1137" w:type="pct"/>
          </w:tcPr>
          <w:p w:rsidR="00AA6790" w:rsidRDefault="00D1197C" w:rsidP="00D232D5">
            <w:pPr>
              <w:pStyle w:val="NoSpacing"/>
              <w:jc w:val="right"/>
            </w:pPr>
            <w:r>
              <w:t>116</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Default="00AA6790" w:rsidP="00D232D5">
            <w:pPr>
              <w:pStyle w:val="NoSpacing"/>
              <w:jc w:val="right"/>
            </w:pPr>
            <w:r>
              <w:t>4</w:t>
            </w:r>
          </w:p>
        </w:tc>
        <w:tc>
          <w:tcPr>
            <w:tcW w:w="1137" w:type="pct"/>
          </w:tcPr>
          <w:p w:rsidR="00AA6790" w:rsidRDefault="00D1197C" w:rsidP="00D232D5">
            <w:pPr>
              <w:pStyle w:val="NoSpacing"/>
              <w:jc w:val="right"/>
            </w:pPr>
            <w:r>
              <w:t>255</w:t>
            </w:r>
          </w:p>
        </w:tc>
        <w:tc>
          <w:tcPr>
            <w:tcW w:w="1137" w:type="pct"/>
          </w:tcPr>
          <w:p w:rsidR="00AA6790" w:rsidRDefault="00D1197C" w:rsidP="00D232D5">
            <w:pPr>
              <w:pStyle w:val="NoSpacing"/>
              <w:jc w:val="right"/>
            </w:pPr>
            <w:r>
              <w:t>137</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Default="00AA6790" w:rsidP="00D232D5">
            <w:pPr>
              <w:pStyle w:val="NoSpacing"/>
              <w:jc w:val="right"/>
            </w:pPr>
            <w:r>
              <w:t>5</w:t>
            </w:r>
          </w:p>
        </w:tc>
        <w:tc>
          <w:tcPr>
            <w:tcW w:w="1137" w:type="pct"/>
          </w:tcPr>
          <w:p w:rsidR="00AA6790" w:rsidRDefault="00D1197C" w:rsidP="00D232D5">
            <w:pPr>
              <w:pStyle w:val="NoSpacing"/>
              <w:jc w:val="right"/>
            </w:pPr>
            <w:r>
              <w:t>238</w:t>
            </w:r>
          </w:p>
        </w:tc>
        <w:tc>
          <w:tcPr>
            <w:tcW w:w="1137" w:type="pct"/>
          </w:tcPr>
          <w:p w:rsidR="00AA6790" w:rsidRDefault="00D1197C" w:rsidP="00D232D5">
            <w:pPr>
              <w:pStyle w:val="NoSpacing"/>
              <w:jc w:val="right"/>
            </w:pPr>
            <w:r>
              <w:t>156</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Default="00AA6790" w:rsidP="00D232D5">
            <w:pPr>
              <w:pStyle w:val="NoSpacing"/>
              <w:jc w:val="right"/>
            </w:pPr>
            <w:r>
              <w:t>6</w:t>
            </w:r>
          </w:p>
        </w:tc>
        <w:tc>
          <w:tcPr>
            <w:tcW w:w="1137" w:type="pct"/>
          </w:tcPr>
          <w:p w:rsidR="00AA6790" w:rsidRDefault="00D1197C" w:rsidP="00D232D5">
            <w:pPr>
              <w:pStyle w:val="NoSpacing"/>
              <w:jc w:val="right"/>
            </w:pPr>
            <w:r>
              <w:t>204</w:t>
            </w:r>
          </w:p>
        </w:tc>
        <w:tc>
          <w:tcPr>
            <w:tcW w:w="1137" w:type="pct"/>
          </w:tcPr>
          <w:p w:rsidR="00AA6790" w:rsidRDefault="00D1197C" w:rsidP="00D232D5">
            <w:pPr>
              <w:pStyle w:val="NoSpacing"/>
              <w:jc w:val="right"/>
            </w:pPr>
            <w:r>
              <w:t>171</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Pr="00C530F8" w:rsidRDefault="00AA6790" w:rsidP="00D232D5">
            <w:pPr>
              <w:pStyle w:val="NoSpacing"/>
              <w:jc w:val="right"/>
              <w:rPr>
                <w:rFonts w:eastAsia="MS Gothic"/>
              </w:rPr>
            </w:pPr>
            <w:r>
              <w:rPr>
                <w:rFonts w:eastAsia="MS Gothic" w:hint="eastAsia"/>
              </w:rPr>
              <w:t>7</w:t>
            </w:r>
          </w:p>
        </w:tc>
        <w:tc>
          <w:tcPr>
            <w:tcW w:w="1137" w:type="pct"/>
          </w:tcPr>
          <w:p w:rsidR="00AA6790" w:rsidRPr="0049710E" w:rsidRDefault="00D1197C" w:rsidP="00D232D5">
            <w:pPr>
              <w:pStyle w:val="NoSpacing"/>
              <w:jc w:val="right"/>
            </w:pPr>
            <w:r>
              <w:t>170</w:t>
            </w:r>
          </w:p>
        </w:tc>
        <w:tc>
          <w:tcPr>
            <w:tcW w:w="1137" w:type="pct"/>
          </w:tcPr>
          <w:p w:rsidR="00AA6790" w:rsidRPr="0049710E" w:rsidRDefault="00D1197C" w:rsidP="00D232D5">
            <w:pPr>
              <w:pStyle w:val="NoSpacing"/>
              <w:jc w:val="right"/>
            </w:pPr>
            <w:r>
              <w:t>182</w:t>
            </w:r>
          </w:p>
        </w:tc>
        <w:tc>
          <w:tcPr>
            <w:tcW w:w="1137" w:type="pct"/>
          </w:tcPr>
          <w:p w:rsidR="00AA6790" w:rsidRPr="0049710E" w:rsidRDefault="007118AC" w:rsidP="00D232D5">
            <w:pPr>
              <w:pStyle w:val="NoSpacing"/>
              <w:jc w:val="right"/>
            </w:pPr>
            <w:r>
              <w:t>0</w:t>
            </w:r>
          </w:p>
        </w:tc>
      </w:tr>
      <w:tr w:rsidR="00795BD9" w:rsidTr="00795BD9">
        <w:tc>
          <w:tcPr>
            <w:tcW w:w="1590" w:type="pct"/>
          </w:tcPr>
          <w:p w:rsidR="00AA6790" w:rsidRPr="00C530F8" w:rsidRDefault="00AA6790" w:rsidP="00D232D5">
            <w:pPr>
              <w:pStyle w:val="NoSpacing"/>
              <w:jc w:val="right"/>
              <w:rPr>
                <w:rFonts w:eastAsia="MS Gothic"/>
              </w:rPr>
            </w:pPr>
            <w:r>
              <w:rPr>
                <w:rFonts w:eastAsia="MS Gothic" w:hint="eastAsia"/>
              </w:rPr>
              <w:t>8</w:t>
            </w:r>
          </w:p>
        </w:tc>
        <w:tc>
          <w:tcPr>
            <w:tcW w:w="1137" w:type="pct"/>
          </w:tcPr>
          <w:p w:rsidR="00AA6790" w:rsidRPr="0049710E" w:rsidRDefault="00D1197C" w:rsidP="00D232D5">
            <w:pPr>
              <w:pStyle w:val="NoSpacing"/>
              <w:jc w:val="right"/>
            </w:pPr>
            <w:r>
              <w:t>141</w:t>
            </w:r>
          </w:p>
        </w:tc>
        <w:tc>
          <w:tcPr>
            <w:tcW w:w="1137" w:type="pct"/>
          </w:tcPr>
          <w:p w:rsidR="00AA6790" w:rsidRPr="0049710E" w:rsidRDefault="00D1197C" w:rsidP="00D232D5">
            <w:pPr>
              <w:pStyle w:val="NoSpacing"/>
              <w:jc w:val="right"/>
            </w:pPr>
            <w:r>
              <w:t>188</w:t>
            </w:r>
          </w:p>
        </w:tc>
        <w:tc>
          <w:tcPr>
            <w:tcW w:w="1137" w:type="pct"/>
          </w:tcPr>
          <w:p w:rsidR="00AA6790" w:rsidRPr="0049710E" w:rsidRDefault="007118AC" w:rsidP="00D232D5">
            <w:pPr>
              <w:pStyle w:val="NoSpacing"/>
              <w:jc w:val="right"/>
            </w:pPr>
            <w:r>
              <w:t>49</w:t>
            </w:r>
          </w:p>
        </w:tc>
      </w:tr>
      <w:tr w:rsidR="00795BD9" w:rsidTr="00795BD9">
        <w:tc>
          <w:tcPr>
            <w:tcW w:w="1590" w:type="pct"/>
          </w:tcPr>
          <w:p w:rsidR="00AA6790" w:rsidRPr="00C530F8" w:rsidRDefault="00AA6790" w:rsidP="00D232D5">
            <w:pPr>
              <w:pStyle w:val="NoSpacing"/>
              <w:jc w:val="right"/>
              <w:rPr>
                <w:rFonts w:eastAsia="MS Gothic"/>
              </w:rPr>
            </w:pPr>
            <w:r>
              <w:rPr>
                <w:rFonts w:eastAsia="MS Gothic" w:hint="eastAsia"/>
              </w:rPr>
              <w:t>9</w:t>
            </w:r>
          </w:p>
        </w:tc>
        <w:tc>
          <w:tcPr>
            <w:tcW w:w="1137" w:type="pct"/>
          </w:tcPr>
          <w:p w:rsidR="00AA6790" w:rsidRPr="0049710E" w:rsidRDefault="00D1197C" w:rsidP="00D232D5">
            <w:pPr>
              <w:pStyle w:val="NoSpacing"/>
              <w:jc w:val="right"/>
            </w:pPr>
            <w:r>
              <w:t>118</w:t>
            </w:r>
          </w:p>
        </w:tc>
        <w:tc>
          <w:tcPr>
            <w:tcW w:w="1137" w:type="pct"/>
          </w:tcPr>
          <w:p w:rsidR="00AA6790" w:rsidRPr="0049710E" w:rsidRDefault="00D1197C" w:rsidP="00D232D5">
            <w:pPr>
              <w:pStyle w:val="NoSpacing"/>
              <w:jc w:val="right"/>
            </w:pPr>
            <w:r>
              <w:t>191</w:t>
            </w:r>
          </w:p>
        </w:tc>
        <w:tc>
          <w:tcPr>
            <w:tcW w:w="1137" w:type="pct"/>
          </w:tcPr>
          <w:p w:rsidR="00AA6790" w:rsidRPr="0049710E" w:rsidRDefault="007118AC" w:rsidP="00D232D5">
            <w:pPr>
              <w:pStyle w:val="NoSpacing"/>
              <w:jc w:val="right"/>
            </w:pPr>
            <w:r>
              <w:t>101</w:t>
            </w:r>
          </w:p>
        </w:tc>
      </w:tr>
      <w:tr w:rsidR="00795BD9" w:rsidTr="00795BD9">
        <w:tc>
          <w:tcPr>
            <w:tcW w:w="1590" w:type="pct"/>
          </w:tcPr>
          <w:p w:rsidR="00AA6790" w:rsidRPr="00C530F8" w:rsidRDefault="00AA6790" w:rsidP="00D232D5">
            <w:pPr>
              <w:pStyle w:val="NoSpacing"/>
              <w:jc w:val="right"/>
              <w:rPr>
                <w:rFonts w:eastAsia="MS Gothic"/>
              </w:rPr>
            </w:pPr>
            <w:r>
              <w:rPr>
                <w:rFonts w:eastAsia="MS Gothic" w:hint="eastAsia"/>
              </w:rPr>
              <w:t>10</w:t>
            </w:r>
          </w:p>
        </w:tc>
        <w:tc>
          <w:tcPr>
            <w:tcW w:w="1137" w:type="pct"/>
          </w:tcPr>
          <w:p w:rsidR="00AA6790" w:rsidRPr="0049710E" w:rsidRDefault="00D1197C" w:rsidP="00D232D5">
            <w:pPr>
              <w:pStyle w:val="NoSpacing"/>
              <w:jc w:val="right"/>
            </w:pPr>
            <w:r>
              <w:t>107</w:t>
            </w:r>
          </w:p>
        </w:tc>
        <w:tc>
          <w:tcPr>
            <w:tcW w:w="1137" w:type="pct"/>
          </w:tcPr>
          <w:p w:rsidR="00AA6790" w:rsidRPr="0049710E" w:rsidRDefault="00D1197C" w:rsidP="00D232D5">
            <w:pPr>
              <w:pStyle w:val="NoSpacing"/>
              <w:jc w:val="right"/>
            </w:pPr>
            <w:r>
              <w:t>190</w:t>
            </w:r>
          </w:p>
        </w:tc>
        <w:tc>
          <w:tcPr>
            <w:tcW w:w="1137" w:type="pct"/>
          </w:tcPr>
          <w:p w:rsidR="00AA6790" w:rsidRPr="0049710E" w:rsidRDefault="007118AC" w:rsidP="00D232D5">
            <w:pPr>
              <w:pStyle w:val="NoSpacing"/>
              <w:jc w:val="right"/>
            </w:pPr>
            <w:r>
              <w:t>145</w:t>
            </w:r>
          </w:p>
        </w:tc>
      </w:tr>
      <w:tr w:rsidR="009622D1" w:rsidTr="00795BD9">
        <w:tc>
          <w:tcPr>
            <w:tcW w:w="1590" w:type="pct"/>
          </w:tcPr>
          <w:p w:rsidR="009622D1" w:rsidRDefault="009622D1" w:rsidP="00D232D5">
            <w:pPr>
              <w:pStyle w:val="NoSpacing"/>
              <w:jc w:val="right"/>
              <w:rPr>
                <w:rFonts w:eastAsia="MS Gothic" w:hint="eastAsia"/>
              </w:rPr>
            </w:pPr>
            <w:r>
              <w:rPr>
                <w:rFonts w:eastAsia="MS Gothic"/>
              </w:rPr>
              <w:t>11</w:t>
            </w:r>
          </w:p>
        </w:tc>
        <w:tc>
          <w:tcPr>
            <w:tcW w:w="1137" w:type="pct"/>
          </w:tcPr>
          <w:p w:rsidR="009622D1" w:rsidRPr="0049710E" w:rsidRDefault="00D1197C" w:rsidP="00D232D5">
            <w:pPr>
              <w:pStyle w:val="NoSpacing"/>
              <w:jc w:val="right"/>
            </w:pPr>
            <w:r>
              <w:t>117</w:t>
            </w:r>
          </w:p>
        </w:tc>
        <w:tc>
          <w:tcPr>
            <w:tcW w:w="1137" w:type="pct"/>
          </w:tcPr>
          <w:p w:rsidR="009622D1" w:rsidRPr="0049710E" w:rsidRDefault="00D1197C" w:rsidP="00D232D5">
            <w:pPr>
              <w:pStyle w:val="NoSpacing"/>
              <w:jc w:val="right"/>
            </w:pPr>
            <w:r>
              <w:t>180</w:t>
            </w:r>
          </w:p>
        </w:tc>
        <w:tc>
          <w:tcPr>
            <w:tcW w:w="1137" w:type="pct"/>
          </w:tcPr>
          <w:p w:rsidR="009622D1" w:rsidRDefault="007118AC" w:rsidP="00D232D5">
            <w:pPr>
              <w:pStyle w:val="NoSpacing"/>
              <w:jc w:val="right"/>
            </w:pPr>
            <w:r>
              <w:t>180</w:t>
            </w:r>
          </w:p>
        </w:tc>
      </w:tr>
      <w:tr w:rsidR="009622D1" w:rsidTr="00795BD9">
        <w:tc>
          <w:tcPr>
            <w:tcW w:w="1590" w:type="pct"/>
          </w:tcPr>
          <w:p w:rsidR="009622D1" w:rsidRDefault="009622D1" w:rsidP="00D232D5">
            <w:pPr>
              <w:pStyle w:val="NoSpacing"/>
              <w:jc w:val="right"/>
              <w:rPr>
                <w:rFonts w:eastAsia="MS Gothic"/>
              </w:rPr>
            </w:pPr>
            <w:r>
              <w:rPr>
                <w:rFonts w:eastAsia="MS Gothic"/>
              </w:rPr>
              <w:t>12</w:t>
            </w:r>
          </w:p>
        </w:tc>
        <w:tc>
          <w:tcPr>
            <w:tcW w:w="1137" w:type="pct"/>
          </w:tcPr>
          <w:p w:rsidR="009622D1" w:rsidRPr="0049710E" w:rsidRDefault="00D1197C" w:rsidP="00D232D5">
            <w:pPr>
              <w:pStyle w:val="NoSpacing"/>
              <w:jc w:val="right"/>
            </w:pPr>
            <w:r>
              <w:t>149</w:t>
            </w:r>
          </w:p>
        </w:tc>
        <w:tc>
          <w:tcPr>
            <w:tcW w:w="1137" w:type="pct"/>
          </w:tcPr>
          <w:p w:rsidR="009622D1" w:rsidRPr="0049710E" w:rsidRDefault="00D1197C" w:rsidP="00D232D5">
            <w:pPr>
              <w:pStyle w:val="NoSpacing"/>
              <w:jc w:val="right"/>
            </w:pPr>
            <w:r>
              <w:t>176</w:t>
            </w:r>
          </w:p>
        </w:tc>
        <w:tc>
          <w:tcPr>
            <w:tcW w:w="1137" w:type="pct"/>
          </w:tcPr>
          <w:p w:rsidR="009622D1" w:rsidRDefault="007118AC" w:rsidP="00D232D5">
            <w:pPr>
              <w:pStyle w:val="NoSpacing"/>
              <w:jc w:val="right"/>
            </w:pPr>
            <w:r>
              <w:t>204</w:t>
            </w:r>
          </w:p>
        </w:tc>
      </w:tr>
      <w:tr w:rsidR="009622D1" w:rsidTr="00795BD9">
        <w:tc>
          <w:tcPr>
            <w:tcW w:w="1590" w:type="pct"/>
          </w:tcPr>
          <w:p w:rsidR="009622D1" w:rsidRDefault="009622D1" w:rsidP="00D232D5">
            <w:pPr>
              <w:pStyle w:val="NoSpacing"/>
              <w:jc w:val="right"/>
              <w:rPr>
                <w:rFonts w:eastAsia="MS Gothic"/>
              </w:rPr>
            </w:pPr>
            <w:r>
              <w:rPr>
                <w:rFonts w:eastAsia="MS Gothic"/>
              </w:rPr>
              <w:t>13</w:t>
            </w:r>
          </w:p>
        </w:tc>
        <w:tc>
          <w:tcPr>
            <w:tcW w:w="1137" w:type="pct"/>
          </w:tcPr>
          <w:p w:rsidR="009622D1" w:rsidRPr="0049710E" w:rsidRDefault="00D1197C" w:rsidP="00D232D5">
            <w:pPr>
              <w:pStyle w:val="NoSpacing"/>
              <w:jc w:val="right"/>
            </w:pPr>
            <w:r>
              <w:t>191</w:t>
            </w:r>
          </w:p>
        </w:tc>
        <w:tc>
          <w:tcPr>
            <w:tcW w:w="1137" w:type="pct"/>
          </w:tcPr>
          <w:p w:rsidR="009622D1" w:rsidRPr="0049710E" w:rsidRDefault="00D1197C" w:rsidP="00D232D5">
            <w:pPr>
              <w:pStyle w:val="NoSpacing"/>
              <w:jc w:val="right"/>
            </w:pPr>
            <w:r>
              <w:t>162</w:t>
            </w:r>
          </w:p>
        </w:tc>
        <w:tc>
          <w:tcPr>
            <w:tcW w:w="1137" w:type="pct"/>
          </w:tcPr>
          <w:p w:rsidR="009622D1" w:rsidRDefault="007118AC" w:rsidP="00D232D5">
            <w:pPr>
              <w:pStyle w:val="NoSpacing"/>
              <w:jc w:val="right"/>
            </w:pPr>
            <w:r>
              <w:t>213</w:t>
            </w:r>
          </w:p>
        </w:tc>
      </w:tr>
      <w:tr w:rsidR="009622D1" w:rsidTr="00795BD9">
        <w:tc>
          <w:tcPr>
            <w:tcW w:w="1590" w:type="pct"/>
          </w:tcPr>
          <w:p w:rsidR="009622D1" w:rsidRDefault="009622D1" w:rsidP="00D232D5">
            <w:pPr>
              <w:pStyle w:val="NoSpacing"/>
              <w:jc w:val="right"/>
              <w:rPr>
                <w:rFonts w:eastAsia="MS Gothic"/>
              </w:rPr>
            </w:pPr>
            <w:r>
              <w:rPr>
                <w:rFonts w:eastAsia="MS Gothic"/>
              </w:rPr>
              <w:t>14</w:t>
            </w:r>
          </w:p>
        </w:tc>
        <w:tc>
          <w:tcPr>
            <w:tcW w:w="1137" w:type="pct"/>
          </w:tcPr>
          <w:p w:rsidR="009622D1" w:rsidRPr="0049710E" w:rsidRDefault="00D1197C" w:rsidP="00D232D5">
            <w:pPr>
              <w:pStyle w:val="NoSpacing"/>
              <w:jc w:val="right"/>
            </w:pPr>
            <w:r>
              <w:t>234</w:t>
            </w:r>
          </w:p>
        </w:tc>
        <w:tc>
          <w:tcPr>
            <w:tcW w:w="1137" w:type="pct"/>
          </w:tcPr>
          <w:p w:rsidR="009622D1" w:rsidRPr="0049710E" w:rsidRDefault="00D1197C" w:rsidP="00D232D5">
            <w:pPr>
              <w:pStyle w:val="NoSpacing"/>
              <w:jc w:val="right"/>
            </w:pPr>
            <w:r>
              <w:t>144</w:t>
            </w:r>
          </w:p>
        </w:tc>
        <w:tc>
          <w:tcPr>
            <w:tcW w:w="1137" w:type="pct"/>
          </w:tcPr>
          <w:p w:rsidR="009622D1" w:rsidRDefault="007118AC" w:rsidP="00D232D5">
            <w:pPr>
              <w:pStyle w:val="NoSpacing"/>
              <w:jc w:val="right"/>
            </w:pPr>
            <w:r>
              <w:t>206</w:t>
            </w:r>
          </w:p>
        </w:tc>
      </w:tr>
      <w:tr w:rsidR="009622D1" w:rsidTr="00795BD9">
        <w:tc>
          <w:tcPr>
            <w:tcW w:w="1590" w:type="pct"/>
          </w:tcPr>
          <w:p w:rsidR="009622D1" w:rsidRDefault="009622D1" w:rsidP="00D232D5">
            <w:pPr>
              <w:pStyle w:val="NoSpacing"/>
              <w:jc w:val="right"/>
              <w:rPr>
                <w:rFonts w:eastAsia="MS Gothic"/>
              </w:rPr>
            </w:pPr>
            <w:r>
              <w:rPr>
                <w:rFonts w:eastAsia="MS Gothic"/>
              </w:rPr>
              <w:t>15</w:t>
            </w:r>
          </w:p>
        </w:tc>
        <w:tc>
          <w:tcPr>
            <w:tcW w:w="1137" w:type="pct"/>
          </w:tcPr>
          <w:p w:rsidR="009622D1" w:rsidRPr="0049710E" w:rsidRDefault="00D1197C" w:rsidP="00D232D5">
            <w:pPr>
              <w:pStyle w:val="NoSpacing"/>
              <w:jc w:val="right"/>
            </w:pPr>
            <w:r>
              <w:t>255</w:t>
            </w:r>
          </w:p>
        </w:tc>
        <w:tc>
          <w:tcPr>
            <w:tcW w:w="1137" w:type="pct"/>
          </w:tcPr>
          <w:p w:rsidR="009622D1" w:rsidRPr="0049710E" w:rsidRDefault="00D1197C" w:rsidP="00D232D5">
            <w:pPr>
              <w:pStyle w:val="NoSpacing"/>
              <w:jc w:val="right"/>
            </w:pPr>
            <w:r>
              <w:t>122</w:t>
            </w:r>
          </w:p>
        </w:tc>
        <w:tc>
          <w:tcPr>
            <w:tcW w:w="1137" w:type="pct"/>
          </w:tcPr>
          <w:p w:rsidR="009622D1" w:rsidRDefault="007118AC" w:rsidP="00D232D5">
            <w:pPr>
              <w:pStyle w:val="NoSpacing"/>
              <w:jc w:val="right"/>
            </w:pPr>
            <w:r>
              <w:t>183</w:t>
            </w:r>
          </w:p>
        </w:tc>
      </w:tr>
      <w:tr w:rsidR="009622D1" w:rsidTr="00795BD9">
        <w:tc>
          <w:tcPr>
            <w:tcW w:w="1590" w:type="pct"/>
          </w:tcPr>
          <w:p w:rsidR="009622D1" w:rsidRDefault="009622D1" w:rsidP="00D232D5">
            <w:pPr>
              <w:pStyle w:val="NoSpacing"/>
              <w:jc w:val="right"/>
              <w:rPr>
                <w:rFonts w:eastAsia="MS Gothic"/>
              </w:rPr>
            </w:pPr>
            <w:r>
              <w:rPr>
                <w:rFonts w:eastAsia="MS Gothic"/>
              </w:rPr>
              <w:t>16</w:t>
            </w:r>
          </w:p>
        </w:tc>
        <w:tc>
          <w:tcPr>
            <w:tcW w:w="1137" w:type="pct"/>
          </w:tcPr>
          <w:p w:rsidR="009622D1" w:rsidRPr="0049710E" w:rsidRDefault="00D1197C" w:rsidP="00D232D5">
            <w:pPr>
              <w:pStyle w:val="NoSpacing"/>
              <w:jc w:val="right"/>
            </w:pPr>
            <w:r>
              <w:t>255</w:t>
            </w:r>
          </w:p>
        </w:tc>
        <w:tc>
          <w:tcPr>
            <w:tcW w:w="1137" w:type="pct"/>
          </w:tcPr>
          <w:p w:rsidR="009622D1" w:rsidRPr="0049710E" w:rsidRDefault="00D1197C" w:rsidP="00D232D5">
            <w:pPr>
              <w:pStyle w:val="NoSpacing"/>
              <w:jc w:val="right"/>
            </w:pPr>
            <w:r>
              <w:t>101</w:t>
            </w:r>
          </w:p>
        </w:tc>
        <w:tc>
          <w:tcPr>
            <w:tcW w:w="1137" w:type="pct"/>
          </w:tcPr>
          <w:p w:rsidR="009622D1" w:rsidRDefault="007118AC" w:rsidP="00D232D5">
            <w:pPr>
              <w:pStyle w:val="NoSpacing"/>
              <w:jc w:val="right"/>
            </w:pPr>
            <w:r>
              <w:t>150</w:t>
            </w:r>
          </w:p>
        </w:tc>
      </w:tr>
    </w:tbl>
    <w:p w:rsidR="00AA6790" w:rsidRDefault="00AA6790" w:rsidP="00AA6790">
      <w:pPr>
        <w:pStyle w:val="TableFigure"/>
        <w:rPr>
          <w:rStyle w:val="Emphasis"/>
        </w:rPr>
      </w:pPr>
    </w:p>
    <w:p w:rsidR="0031081F" w:rsidRDefault="0031081F">
      <w:pPr>
        <w:pStyle w:val="TableFigure"/>
      </w:pPr>
    </w:p>
    <w:p w:rsidR="0031081F" w:rsidRDefault="00D74F71">
      <w:pPr>
        <w:pStyle w:val="SectionTitle"/>
      </w:pPr>
      <w:r>
        <w:lastRenderedPageBreak/>
        <w:t>Figures</w:t>
      </w:r>
    </w:p>
    <w:p w:rsidR="0031081F" w:rsidRDefault="00A52357">
      <w:pPr>
        <w:pStyle w:val="NoSpacing"/>
      </w:pPr>
      <w:r w:rsidRPr="00A52357">
        <w:rPr>
          <w:noProof/>
          <w:lang w:val="de-CH" w:eastAsia="zh-TW"/>
        </w:rPr>
        <w:drawing>
          <wp:inline distT="0" distB="0" distL="0" distR="0">
            <wp:extent cx="5854359" cy="2230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uan-Yu Lin\Documents\GitHub\similairty_measurement\Figures\faces.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54359" cy="2230016"/>
                    </a:xfrm>
                    <a:prstGeom prst="rect">
                      <a:avLst/>
                    </a:prstGeom>
                    <a:noFill/>
                    <a:ln>
                      <a:noFill/>
                    </a:ln>
                  </pic:spPr>
                </pic:pic>
              </a:graphicData>
            </a:graphic>
          </wp:inline>
        </w:drawing>
      </w:r>
    </w:p>
    <w:p w:rsidR="003A6FB5" w:rsidRDefault="00D74F71">
      <w:pPr>
        <w:pStyle w:val="TableFigure"/>
      </w:pPr>
      <w:r>
        <w:rPr>
          <w:rStyle w:val="Emphasis"/>
        </w:rPr>
        <w:t>Figure 1</w:t>
      </w:r>
      <w:r>
        <w:t xml:space="preserve">. </w:t>
      </w:r>
      <w:r w:rsidR="00A52357">
        <w:t xml:space="preserve">The material used in the Experiment 1. </w:t>
      </w:r>
      <w:r w:rsidR="00992128">
        <w:t>The faces are constructed with four dimensions: the width between eyes, the height of eyes, the length of nose, and the position</w:t>
      </w:r>
      <w:r w:rsidR="009B57D4">
        <w:t xml:space="preserve"> of mouth.</w:t>
      </w:r>
    </w:p>
    <w:p w:rsidR="003334BC" w:rsidRDefault="003334BC">
      <w:pPr>
        <w:jc w:val="left"/>
      </w:pPr>
      <w:r>
        <w:br w:type="page"/>
      </w:r>
    </w:p>
    <w:p w:rsidR="005A0477" w:rsidRDefault="009B57D4" w:rsidP="003334BC">
      <w:pPr>
        <w:pStyle w:val="TableFigure"/>
      </w:pPr>
      <w:r>
        <w:lastRenderedPageBreak/>
        <w:t xml:space="preserve"> </w:t>
      </w:r>
      <w:r w:rsidR="00E83E77">
        <w:rPr>
          <w:noProof/>
          <w:lang w:val="de-CH" w:eastAsia="zh-TW"/>
        </w:rPr>
        <w:drawing>
          <wp:inline distT="0" distB="0" distL="0" distR="0" wp14:anchorId="779B7C60">
            <wp:extent cx="3552825" cy="3552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52825" cy="3552825"/>
                    </a:xfrm>
                    <a:prstGeom prst="rect">
                      <a:avLst/>
                    </a:prstGeom>
                    <a:noFill/>
                  </pic:spPr>
                </pic:pic>
              </a:graphicData>
            </a:graphic>
          </wp:inline>
        </w:drawing>
      </w:r>
    </w:p>
    <w:p w:rsidR="003334BC" w:rsidRDefault="003334BC" w:rsidP="003334BC">
      <w:pPr>
        <w:pStyle w:val="TableFigure"/>
      </w:pPr>
      <w:r>
        <w:rPr>
          <w:rStyle w:val="Emphasis"/>
        </w:rPr>
        <w:t xml:space="preserve">Figure </w:t>
      </w:r>
      <w:r w:rsidR="00FE199B">
        <w:rPr>
          <w:rStyle w:val="Emphasis"/>
        </w:rPr>
        <w:t>2</w:t>
      </w:r>
      <w:r>
        <w:t xml:space="preserve">. The material used in the Experiment </w:t>
      </w:r>
      <w:r w:rsidR="001144BC">
        <w:t>2</w:t>
      </w:r>
      <w:r w:rsidR="00713257">
        <w:t>.</w:t>
      </w:r>
      <w:r w:rsidR="004141C0">
        <w:t xml:space="preserve"> All the color patches are equality distributed on a color wheel which centers at </w:t>
      </w:r>
      <m:oMath>
        <m:r>
          <w:rPr>
            <w:rFonts w:ascii="Cambria Math" w:hAnsi="Cambria Math"/>
          </w:rPr>
          <m:t>L</m:t>
        </m:r>
      </m:oMath>
      <w:r w:rsidR="004141C0">
        <w:t xml:space="preserve"> </w:t>
      </w:r>
      <w:r w:rsidR="00CB1BA5">
        <w:t xml:space="preserve">set </w:t>
      </w:r>
      <w:r w:rsidR="004141C0">
        <w:t xml:space="preserve">as 70, </w:t>
      </w:r>
      <m:oMath>
        <m:r>
          <w:rPr>
            <w:rFonts w:ascii="Cambria Math" w:hAnsi="Cambria Math"/>
          </w:rPr>
          <m:t>a</m:t>
        </m:r>
      </m:oMath>
      <w:r w:rsidR="00CB1BA5">
        <w:t xml:space="preserve"> set</w:t>
      </w:r>
      <w:r w:rsidR="004141C0">
        <w:t xml:space="preserve"> as 20, and </w:t>
      </w:r>
      <m:oMath>
        <m:r>
          <w:rPr>
            <w:rFonts w:ascii="Cambria Math" w:hAnsi="Cambria Math"/>
          </w:rPr>
          <m:t>b</m:t>
        </m:r>
      </m:oMath>
      <w:r w:rsidR="00CB1BA5">
        <w:t xml:space="preserve"> set</w:t>
      </w:r>
      <w:r w:rsidR="004141C0">
        <w:t xml:space="preserve"> as 38 with radius 60</w:t>
      </w:r>
      <w:bookmarkStart w:id="0" w:name="_GoBack"/>
      <w:bookmarkEnd w:id="0"/>
      <w:r w:rsidR="004141C0">
        <w:t>.</w:t>
      </w:r>
    </w:p>
    <w:p w:rsidR="0031081F" w:rsidRDefault="0031081F">
      <w:pPr>
        <w:pStyle w:val="TableFigure"/>
      </w:pPr>
    </w:p>
    <w:sectPr w:rsidR="0031081F">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1E1" w:rsidRDefault="00FD51E1">
      <w:pPr>
        <w:spacing w:line="240" w:lineRule="auto"/>
      </w:pPr>
      <w:r>
        <w:separator/>
      </w:r>
    </w:p>
  </w:endnote>
  <w:endnote w:type="continuationSeparator" w:id="0">
    <w:p w:rsidR="00FD51E1" w:rsidRDefault="00FD51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1E1" w:rsidRDefault="00FD51E1">
      <w:pPr>
        <w:spacing w:line="240" w:lineRule="auto"/>
      </w:pPr>
      <w:r>
        <w:separator/>
      </w:r>
    </w:p>
  </w:footnote>
  <w:footnote w:type="continuationSeparator" w:id="0">
    <w:p w:rsidR="00FD51E1" w:rsidRDefault="00FD51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81F" w:rsidRDefault="00FD51E1">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74F71">
          <w:rPr>
            <w:rStyle w:val="Strong"/>
          </w:rPr>
          <w:t>[Shortened Title up to 50 Characters]</w:t>
        </w:r>
      </w:sdtContent>
    </w:sdt>
    <w:r w:rsidR="00D74F71">
      <w:rPr>
        <w:rStyle w:val="Strong"/>
      </w:rPr>
      <w:ptab w:relativeTo="margin" w:alignment="right" w:leader="none"/>
    </w:r>
    <w:r w:rsidR="00D74F71">
      <w:rPr>
        <w:rStyle w:val="Strong"/>
      </w:rPr>
      <w:fldChar w:fldCharType="begin"/>
    </w:r>
    <w:r w:rsidR="00D74F71">
      <w:rPr>
        <w:rStyle w:val="Strong"/>
      </w:rPr>
      <w:instrText xml:space="preserve"> PAGE   \* MERGEFORMAT </w:instrText>
    </w:r>
    <w:r w:rsidR="00D74F71">
      <w:rPr>
        <w:rStyle w:val="Strong"/>
      </w:rPr>
      <w:fldChar w:fldCharType="separate"/>
    </w:r>
    <w:r w:rsidR="005319B1">
      <w:rPr>
        <w:rStyle w:val="Strong"/>
        <w:noProof/>
      </w:rPr>
      <w:t>13</w:t>
    </w:r>
    <w:r w:rsidR="00D74F71">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81F" w:rsidRDefault="00D74F71">
    <w:pPr>
      <w:pStyle w:val="Header"/>
      <w:rPr>
        <w:rStyle w:val="Strong"/>
      </w:rPr>
    </w:pPr>
    <w:r>
      <w:t xml:space="preserve">Running head: </w:t>
    </w:r>
    <w:sdt>
      <w:sdtPr>
        <w:rPr>
          <w:rStyle w:val="Strong"/>
        </w:rPr>
        <w:alias w:val="Running head"/>
        <w:tag w:val=""/>
        <w:id w:val="-696842620"/>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795BD9">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hyphenationZone w:val="425"/>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81F"/>
    <w:rsid w:val="000218E5"/>
    <w:rsid w:val="00040BEC"/>
    <w:rsid w:val="00070D4B"/>
    <w:rsid w:val="000A1D1E"/>
    <w:rsid w:val="000A4E5B"/>
    <w:rsid w:val="000C2BA0"/>
    <w:rsid w:val="000C731F"/>
    <w:rsid w:val="000E2A91"/>
    <w:rsid w:val="001018BA"/>
    <w:rsid w:val="001049B3"/>
    <w:rsid w:val="001144BC"/>
    <w:rsid w:val="001164B2"/>
    <w:rsid w:val="001167D5"/>
    <w:rsid w:val="001270C0"/>
    <w:rsid w:val="00146BFE"/>
    <w:rsid w:val="0015025B"/>
    <w:rsid w:val="00171A1A"/>
    <w:rsid w:val="001723CE"/>
    <w:rsid w:val="001771AE"/>
    <w:rsid w:val="00181AA6"/>
    <w:rsid w:val="00184E3F"/>
    <w:rsid w:val="00187899"/>
    <w:rsid w:val="00193FAC"/>
    <w:rsid w:val="001A76C1"/>
    <w:rsid w:val="001C2D1B"/>
    <w:rsid w:val="001C30C4"/>
    <w:rsid w:val="001C733B"/>
    <w:rsid w:val="001E3747"/>
    <w:rsid w:val="002006AB"/>
    <w:rsid w:val="00214C3D"/>
    <w:rsid w:val="00267272"/>
    <w:rsid w:val="0029320F"/>
    <w:rsid w:val="00294B3C"/>
    <w:rsid w:val="002951D5"/>
    <w:rsid w:val="002C7A79"/>
    <w:rsid w:val="002D26C0"/>
    <w:rsid w:val="002D759B"/>
    <w:rsid w:val="002E32B0"/>
    <w:rsid w:val="00304755"/>
    <w:rsid w:val="0031081F"/>
    <w:rsid w:val="003334BC"/>
    <w:rsid w:val="00354538"/>
    <w:rsid w:val="00365E11"/>
    <w:rsid w:val="003948F6"/>
    <w:rsid w:val="003A543E"/>
    <w:rsid w:val="003A5804"/>
    <w:rsid w:val="003A6FB5"/>
    <w:rsid w:val="003C25B3"/>
    <w:rsid w:val="003D6CCE"/>
    <w:rsid w:val="003F2307"/>
    <w:rsid w:val="003F64FF"/>
    <w:rsid w:val="00405D3B"/>
    <w:rsid w:val="004141C0"/>
    <w:rsid w:val="00415B84"/>
    <w:rsid w:val="00444B5E"/>
    <w:rsid w:val="00454E84"/>
    <w:rsid w:val="00464A8F"/>
    <w:rsid w:val="00487EBB"/>
    <w:rsid w:val="0049644F"/>
    <w:rsid w:val="0049710E"/>
    <w:rsid w:val="004A01C0"/>
    <w:rsid w:val="004A6FD1"/>
    <w:rsid w:val="004B0FD7"/>
    <w:rsid w:val="004E02CB"/>
    <w:rsid w:val="004F41F7"/>
    <w:rsid w:val="00510BE3"/>
    <w:rsid w:val="005319B1"/>
    <w:rsid w:val="005432D5"/>
    <w:rsid w:val="00555F14"/>
    <w:rsid w:val="005613A3"/>
    <w:rsid w:val="00597074"/>
    <w:rsid w:val="005A0477"/>
    <w:rsid w:val="005A0DD3"/>
    <w:rsid w:val="005A7DF1"/>
    <w:rsid w:val="005B1FB7"/>
    <w:rsid w:val="005C0C7C"/>
    <w:rsid w:val="005C2FF6"/>
    <w:rsid w:val="005D3350"/>
    <w:rsid w:val="005D71AD"/>
    <w:rsid w:val="005E32FD"/>
    <w:rsid w:val="0060410F"/>
    <w:rsid w:val="0061149F"/>
    <w:rsid w:val="006119BA"/>
    <w:rsid w:val="00631067"/>
    <w:rsid w:val="00632E5A"/>
    <w:rsid w:val="00635F38"/>
    <w:rsid w:val="00640194"/>
    <w:rsid w:val="00642E41"/>
    <w:rsid w:val="00650372"/>
    <w:rsid w:val="0066181F"/>
    <w:rsid w:val="00663DD1"/>
    <w:rsid w:val="00667313"/>
    <w:rsid w:val="006679E0"/>
    <w:rsid w:val="00670F26"/>
    <w:rsid w:val="00697F02"/>
    <w:rsid w:val="006C4FFC"/>
    <w:rsid w:val="006E2E2A"/>
    <w:rsid w:val="006E6CA0"/>
    <w:rsid w:val="006F6F2E"/>
    <w:rsid w:val="00704CB1"/>
    <w:rsid w:val="00706CED"/>
    <w:rsid w:val="007118AC"/>
    <w:rsid w:val="00713257"/>
    <w:rsid w:val="00722D76"/>
    <w:rsid w:val="0074535A"/>
    <w:rsid w:val="007551C7"/>
    <w:rsid w:val="00762CA3"/>
    <w:rsid w:val="00795BD9"/>
    <w:rsid w:val="007C4A28"/>
    <w:rsid w:val="007D0C11"/>
    <w:rsid w:val="007D4E19"/>
    <w:rsid w:val="007E18DF"/>
    <w:rsid w:val="008005D3"/>
    <w:rsid w:val="008032DE"/>
    <w:rsid w:val="00806C4E"/>
    <w:rsid w:val="008136A0"/>
    <w:rsid w:val="008201FC"/>
    <w:rsid w:val="0083195B"/>
    <w:rsid w:val="0086546A"/>
    <w:rsid w:val="00865E91"/>
    <w:rsid w:val="008678D6"/>
    <w:rsid w:val="00875C3A"/>
    <w:rsid w:val="00876274"/>
    <w:rsid w:val="00886A5D"/>
    <w:rsid w:val="00895D7E"/>
    <w:rsid w:val="008A44A7"/>
    <w:rsid w:val="008A66C1"/>
    <w:rsid w:val="009143A1"/>
    <w:rsid w:val="00920B95"/>
    <w:rsid w:val="0093481C"/>
    <w:rsid w:val="00951C5F"/>
    <w:rsid w:val="00952AB9"/>
    <w:rsid w:val="00962099"/>
    <w:rsid w:val="009622D1"/>
    <w:rsid w:val="00972014"/>
    <w:rsid w:val="009735AB"/>
    <w:rsid w:val="00982576"/>
    <w:rsid w:val="00992128"/>
    <w:rsid w:val="009A1B54"/>
    <w:rsid w:val="009A660A"/>
    <w:rsid w:val="009B2271"/>
    <w:rsid w:val="009B57D4"/>
    <w:rsid w:val="009C0037"/>
    <w:rsid w:val="009C09D6"/>
    <w:rsid w:val="009E53F2"/>
    <w:rsid w:val="009F4B35"/>
    <w:rsid w:val="00A42FD0"/>
    <w:rsid w:val="00A52357"/>
    <w:rsid w:val="00A55D39"/>
    <w:rsid w:val="00A95F30"/>
    <w:rsid w:val="00AA6790"/>
    <w:rsid w:val="00AE0F46"/>
    <w:rsid w:val="00AE11FD"/>
    <w:rsid w:val="00AF4A78"/>
    <w:rsid w:val="00AF5B98"/>
    <w:rsid w:val="00B0098F"/>
    <w:rsid w:val="00B27DC6"/>
    <w:rsid w:val="00B32632"/>
    <w:rsid w:val="00B4773A"/>
    <w:rsid w:val="00B62461"/>
    <w:rsid w:val="00B66913"/>
    <w:rsid w:val="00B751D5"/>
    <w:rsid w:val="00B7555E"/>
    <w:rsid w:val="00B825A4"/>
    <w:rsid w:val="00B868AD"/>
    <w:rsid w:val="00B90426"/>
    <w:rsid w:val="00B90D50"/>
    <w:rsid w:val="00BD1C34"/>
    <w:rsid w:val="00BD5701"/>
    <w:rsid w:val="00BD599C"/>
    <w:rsid w:val="00BE4189"/>
    <w:rsid w:val="00BF469E"/>
    <w:rsid w:val="00C139DC"/>
    <w:rsid w:val="00C31AF0"/>
    <w:rsid w:val="00C52A62"/>
    <w:rsid w:val="00C530F8"/>
    <w:rsid w:val="00C5688D"/>
    <w:rsid w:val="00C61511"/>
    <w:rsid w:val="00CA1BEB"/>
    <w:rsid w:val="00CA2E22"/>
    <w:rsid w:val="00CB0F83"/>
    <w:rsid w:val="00CB1BA5"/>
    <w:rsid w:val="00CC1E6D"/>
    <w:rsid w:val="00CD34BC"/>
    <w:rsid w:val="00CD4B9B"/>
    <w:rsid w:val="00CF2822"/>
    <w:rsid w:val="00D10F72"/>
    <w:rsid w:val="00D1197C"/>
    <w:rsid w:val="00D37705"/>
    <w:rsid w:val="00D575EF"/>
    <w:rsid w:val="00D746AE"/>
    <w:rsid w:val="00D74F71"/>
    <w:rsid w:val="00D76058"/>
    <w:rsid w:val="00D90165"/>
    <w:rsid w:val="00DB2B56"/>
    <w:rsid w:val="00DC0DF1"/>
    <w:rsid w:val="00DC7AED"/>
    <w:rsid w:val="00DD100B"/>
    <w:rsid w:val="00DD26DE"/>
    <w:rsid w:val="00DD3B98"/>
    <w:rsid w:val="00DD599D"/>
    <w:rsid w:val="00DE1981"/>
    <w:rsid w:val="00DE6A90"/>
    <w:rsid w:val="00DF57FD"/>
    <w:rsid w:val="00E31ABE"/>
    <w:rsid w:val="00E4423E"/>
    <w:rsid w:val="00E445FB"/>
    <w:rsid w:val="00E45B74"/>
    <w:rsid w:val="00E51C22"/>
    <w:rsid w:val="00E5442F"/>
    <w:rsid w:val="00E63845"/>
    <w:rsid w:val="00E6691D"/>
    <w:rsid w:val="00E76849"/>
    <w:rsid w:val="00E83E77"/>
    <w:rsid w:val="00EB1CAE"/>
    <w:rsid w:val="00EB2202"/>
    <w:rsid w:val="00ED0F4B"/>
    <w:rsid w:val="00ED168F"/>
    <w:rsid w:val="00EE5C71"/>
    <w:rsid w:val="00EF1F3C"/>
    <w:rsid w:val="00F04FF2"/>
    <w:rsid w:val="00F05ADD"/>
    <w:rsid w:val="00F1382E"/>
    <w:rsid w:val="00F138F3"/>
    <w:rsid w:val="00F220D0"/>
    <w:rsid w:val="00F35E9D"/>
    <w:rsid w:val="00F373F2"/>
    <w:rsid w:val="00F4465A"/>
    <w:rsid w:val="00F652CE"/>
    <w:rsid w:val="00F81FB3"/>
    <w:rsid w:val="00FB07DD"/>
    <w:rsid w:val="00FD51E1"/>
    <w:rsid w:val="00FE0141"/>
    <w:rsid w:val="00FE199B"/>
    <w:rsid w:val="00FE284A"/>
    <w:rsid w:val="00FE4F6C"/>
    <w:rsid w:val="00FF7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0CA2"/>
  <w15:chartTrackingRefBased/>
  <w15:docId w15:val="{14427699-58CD-4E6F-8FD5-A0B2A3A6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B74"/>
    <w:pPr>
      <w:jc w:val="both"/>
    </w:pPr>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rsid w:val="00E45B74"/>
    <w:pPr>
      <w:ind w:firstLine="0"/>
      <w:jc w:val="both"/>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856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9DBE1383624A7CAB45E544E08C3D70"/>
        <w:category>
          <w:name w:val="General"/>
          <w:gallery w:val="placeholder"/>
        </w:category>
        <w:types>
          <w:type w:val="bbPlcHdr"/>
        </w:types>
        <w:behaviors>
          <w:behavior w:val="content"/>
        </w:behaviors>
        <w:guid w:val="{20D44E29-F779-477A-B581-60D17D584ECF}"/>
      </w:docPartPr>
      <w:docPartBody>
        <w:p w:rsidR="00C33BE6" w:rsidRDefault="005F7313">
          <w:r>
            <w:t>[Title Here, up to 12 Words, on One to Two Lines]</w:t>
          </w:r>
        </w:p>
      </w:docPartBody>
    </w:docPart>
    <w:docPart>
      <w:docPartPr>
        <w:name w:val="7462A0ECD7654340A284DE74AD7C6A1E"/>
        <w:category>
          <w:name w:val="General"/>
          <w:gallery w:val="placeholder"/>
        </w:category>
        <w:types>
          <w:type w:val="bbPlcHdr"/>
        </w:types>
        <w:behaviors>
          <w:behavior w:val="content"/>
        </w:behaviors>
        <w:guid w:val="{DC438B59-E5BD-4A20-A718-EA0DC9D061AE}"/>
      </w:docPartPr>
      <w:docPartBody>
        <w:p w:rsidR="00C33BE6" w:rsidRDefault="005F7313">
          <w:r>
            <w:t>[Author Name(s), First M. Last, Omit Titles and Degrees]</w:t>
          </w:r>
        </w:p>
      </w:docPartBody>
    </w:docPart>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C33BE6" w:rsidRDefault="005F7313">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C33BE6" w:rsidRDefault="005F7313">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C33BE6" w:rsidRDefault="005F7313">
          <w:pPr>
            <w:pStyle w:val="39EBFBD4B6714E6397FBEE00776137523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C33BE6" w:rsidRDefault="005F7313">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C33BE6" w:rsidRDefault="005F7313">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C33BE6" w:rsidRDefault="005F7313">
          <w:r>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C33BE6" w:rsidRDefault="005F7313">
          <w:pPr>
            <w:pStyle w:val="085D136369BB478BBD25324DC6C631B130"/>
          </w:pPr>
          <w:r>
            <w:rPr>
              <w:rStyle w:val="Heading3Char"/>
            </w:rPr>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C33BE6" w:rsidRDefault="005F7313">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C33BE6" w:rsidRDefault="005F7313">
          <w:pPr>
            <w:pStyle w:val="912B37EE2CB8485AAAB81F0875B6869030"/>
          </w:pPr>
          <w:r>
            <w:rPr>
              <w:rStyle w:val="Heading4Char"/>
            </w:rPr>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C33BE6" w:rsidRDefault="005F7313">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C33BE6" w:rsidRDefault="005F7313">
          <w:pPr>
            <w:pStyle w:val="5A0FBDAE6F1144F3BA44F3BB4856764830"/>
          </w:pPr>
          <w:r>
            <w:rPr>
              <w:rStyle w:val="Heading5Char"/>
            </w:rPr>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C33BE6" w:rsidRDefault="005F7313">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C33BE6" w:rsidRDefault="005F7313">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C33BE6" w:rsidRDefault="005F7313">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C33BE6" w:rsidRDefault="005F7313">
          <w:pPr>
            <w:pStyle w:val="C8D21132D23A4D17BB23E3BECB243CF024"/>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C33BE6" w:rsidRDefault="005F7313">
          <w:pPr>
            <w:pStyle w:val="AF789546C7EF463D852435CEDC3F2EEA2"/>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BE6"/>
    <w:rsid w:val="00182CBC"/>
    <w:rsid w:val="00193CC0"/>
    <w:rsid w:val="005559F9"/>
    <w:rsid w:val="005F7313"/>
    <w:rsid w:val="007139FF"/>
    <w:rsid w:val="00A85BD9"/>
    <w:rsid w:val="00B302B2"/>
    <w:rsid w:val="00BE63CF"/>
    <w:rsid w:val="00C33BE6"/>
    <w:rsid w:val="00F16B61"/>
    <w:rsid w:val="00FE6A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styleId="Strong">
    <w:name w:val="Strong"/>
    <w:basedOn w:val="DefaultParagraphFont"/>
    <w:uiPriority w:val="22"/>
    <w:unhideWhenUsed/>
    <w:qFormat/>
    <w:rPr>
      <w:b w:val="0"/>
      <w:bCs w:val="0"/>
      <w:caps/>
      <w:smallCaps w:val="0"/>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D7BC23A0-2EB1-4F2D-9733-D91BB44A7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1642</Words>
  <Characters>10347</Characters>
  <Application>Microsoft Office Word</Application>
  <DocSecurity>0</DocSecurity>
  <Lines>86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Hsuan-Yu Lin</dc:creator>
  <cp:keywords/>
  <dc:description/>
  <cp:lastModifiedBy>Hsuan-Yu Lin</cp:lastModifiedBy>
  <cp:revision>191</cp:revision>
  <dcterms:created xsi:type="dcterms:W3CDTF">2017-05-15T13:44:00Z</dcterms:created>
  <dcterms:modified xsi:type="dcterms:W3CDTF">2017-05-30T15:03:00Z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zotero-version="4.0.29.20"&gt;&lt;session id="8mSH90X6"/&gt;&lt;style id="http://www.zotero.org/styles/apa" locale="en-US" hasBibliography="1" bibliographyStyleHasBeenSet="0"/&gt;&lt;prefs&gt;&lt;pref name="fieldType" value="Field"/&gt;&lt;pref name="storeRefere</vt:lpwstr>
  </property>
  <property fmtid="{D5CDD505-2E9C-101B-9397-08002B2CF9AE}" pid="4" name="ZOTERO_PREF_2">
    <vt:lpwstr>nces" value="true"/&gt;&lt;pref name="automaticJournalAbbreviations" value="true"/&gt;&lt;pref name="noteType" value=""/&gt;&lt;/prefs&gt;&lt;/data&gt;</vt:lpwstr>
  </property>
</Properties>
</file>