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E6" w:rsidRDefault="00E20588">
      <w:p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Is net </w:t>
      </w:r>
      <w:r w:rsidR="00A44454">
        <w:rPr>
          <w:b/>
          <w:sz w:val="24"/>
          <w:szCs w:val="24"/>
        </w:rPr>
        <w:t xml:space="preserve">charge </w:t>
      </w:r>
      <w:r>
        <w:rPr>
          <w:b/>
          <w:sz w:val="24"/>
          <w:szCs w:val="24"/>
        </w:rPr>
        <w:t>a</w:t>
      </w:r>
      <w:r w:rsidR="00FD19E6" w:rsidRPr="00FD19E6">
        <w:rPr>
          <w:b/>
          <w:sz w:val="24"/>
          <w:szCs w:val="24"/>
        </w:rPr>
        <w:t xml:space="preserve"> good indicator of receptor binding avidity change?</w:t>
      </w:r>
    </w:p>
    <w:bookmarkEnd w:id="0"/>
    <w:p w:rsidR="00BC490D" w:rsidRDefault="00BC490D">
      <w:r w:rsidRPr="00BC490D">
        <w:t>Hsiang-Yu Yuan</w:t>
      </w:r>
    </w:p>
    <w:p w:rsidR="004040BB" w:rsidRPr="00BC490D" w:rsidRDefault="00A44454">
      <w:r>
        <w:t>29</w:t>
      </w:r>
      <w:r w:rsidR="004040BB">
        <w:t xml:space="preserve"> Aug, 2014</w:t>
      </w:r>
    </w:p>
    <w:p w:rsidR="00E20588" w:rsidRDefault="008C2DFB">
      <w:r>
        <w:t xml:space="preserve">In total, </w:t>
      </w:r>
      <w:r w:rsidR="006D7972">
        <w:t>59</w:t>
      </w:r>
      <w:r>
        <w:t xml:space="preserve"> single substitutions in HA </w:t>
      </w:r>
      <w:r w:rsidR="00FD19E6">
        <w:t xml:space="preserve">(58 from H1N1 and 1 from H3N2) </w:t>
      </w:r>
      <w:r w:rsidR="00C67F4E">
        <w:t>which have</w:t>
      </w:r>
      <w:r w:rsidR="00242515">
        <w:t xml:space="preserve"> </w:t>
      </w:r>
      <w:r>
        <w:t>receptor b</w:t>
      </w:r>
      <w:r w:rsidR="00C67F4E">
        <w:t xml:space="preserve">inding avidity data </w:t>
      </w:r>
      <w:r>
        <w:t>are collected</w:t>
      </w:r>
      <w:r w:rsidR="004040BB">
        <w:t xml:space="preserve"> from literatures</w:t>
      </w:r>
      <w:r>
        <w:t xml:space="preserve">.  I classify their binding </w:t>
      </w:r>
      <w:r w:rsidR="00BF4C01">
        <w:t xml:space="preserve">avidity </w:t>
      </w:r>
      <w:r>
        <w:t xml:space="preserve">into </w:t>
      </w:r>
      <w:r w:rsidR="00BF4C01">
        <w:t xml:space="preserve">3 groups: </w:t>
      </w:r>
      <w:r>
        <w:t>increase</w:t>
      </w:r>
      <w:r w:rsidR="00BF4C01">
        <w:t>d</w:t>
      </w:r>
      <w:r>
        <w:t xml:space="preserve"> (+1), neutral (0), and decrease</w:t>
      </w:r>
      <w:r w:rsidR="00BF4C01">
        <w:t>d</w:t>
      </w:r>
      <w:r>
        <w:t xml:space="preserve"> (-1)</w:t>
      </w:r>
      <w:r w:rsidR="00E20588">
        <w:t xml:space="preserve"> binding</w:t>
      </w:r>
      <w:r>
        <w:t>.</w:t>
      </w:r>
      <w:r w:rsidR="00BF4C01">
        <w:t xml:space="preserve"> Net charge changes of each virus from wild type to mutant are calculated. </w:t>
      </w:r>
      <w:r w:rsidR="00631B92">
        <w:t xml:space="preserve">First </w:t>
      </w:r>
      <w:r w:rsidR="002C3A7D">
        <w:t xml:space="preserve">I use Fisher’s exact test on contingency table </w:t>
      </w:r>
      <w:r w:rsidR="009B28BA">
        <w:t>to check whether net charge distribute differently with binding avidity.</w:t>
      </w:r>
    </w:p>
    <w:p w:rsidR="00BF4C01" w:rsidRDefault="006D7972">
      <w:r>
        <w:t>Fisher’s Exact Test on contingency table</w:t>
      </w:r>
    </w:p>
    <w:tbl>
      <w:tblPr>
        <w:tblW w:w="6032" w:type="dxa"/>
        <w:tblInd w:w="93" w:type="dxa"/>
        <w:tblLook w:val="04A0" w:firstRow="1" w:lastRow="0" w:firstColumn="1" w:lastColumn="0" w:noHBand="0" w:noVBand="1"/>
      </w:tblPr>
      <w:tblGrid>
        <w:gridCol w:w="1423"/>
        <w:gridCol w:w="1825"/>
        <w:gridCol w:w="1343"/>
        <w:gridCol w:w="1441"/>
      </w:tblGrid>
      <w:tr w:rsidR="006D7972" w:rsidRPr="006D7972" w:rsidTr="002C3A7D">
        <w:trPr>
          <w:trHeight w:val="247"/>
        </w:trPr>
        <w:tc>
          <w:tcPr>
            <w:tcW w:w="1423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5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2C3A7D" w:rsidRDefault="002C3A7D" w:rsidP="006D797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Binding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2C3A7D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Net</w:t>
            </w:r>
            <w:r w:rsid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charge</w:t>
            </w:r>
          </w:p>
        </w:tc>
        <w:tc>
          <w:tcPr>
            <w:tcW w:w="1825" w:type="dxa"/>
            <w:tcBorders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Decrease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(-1)</w:t>
            </w:r>
          </w:p>
        </w:tc>
        <w:tc>
          <w:tcPr>
            <w:tcW w:w="1343" w:type="dxa"/>
            <w:tcBorders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Neutral(0)</w:t>
            </w:r>
          </w:p>
        </w:tc>
        <w:tc>
          <w:tcPr>
            <w:tcW w:w="1441" w:type="dxa"/>
            <w:tcBorders>
              <w:left w:val="nil"/>
              <w:bottom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Increase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+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1)</w:t>
            </w: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top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&lt;0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top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&gt;0</w:t>
            </w:r>
          </w:p>
        </w:tc>
        <w:tc>
          <w:tcPr>
            <w:tcW w:w="1825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41" w:type="dxa"/>
            <w:tcBorders>
              <w:top w:val="nil"/>
              <w:left w:val="nil"/>
            </w:tcBorders>
            <w:shd w:val="pct10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</w:tr>
      <w:tr w:rsidR="006D7972" w:rsidRPr="006D7972" w:rsidTr="00E20588">
        <w:trPr>
          <w:trHeight w:val="247"/>
        </w:trPr>
        <w:tc>
          <w:tcPr>
            <w:tcW w:w="14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EF3" w:rsidRDefault="00CA1EF3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6D7972" w:rsidRPr="006D7972" w:rsidRDefault="00E20588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 = 0.00098</w:t>
            </w:r>
          </w:p>
        </w:tc>
        <w:tc>
          <w:tcPr>
            <w:tcW w:w="18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D7972" w:rsidRPr="006D7972" w:rsidTr="00567FD4">
        <w:trPr>
          <w:trHeight w:val="69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7FD4" w:rsidRPr="006D7972" w:rsidRDefault="00567FD4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D7972" w:rsidRPr="006D7972" w:rsidTr="00567FD4">
        <w:trPr>
          <w:trHeight w:val="247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972" w:rsidRPr="006D7972" w:rsidRDefault="006D7972" w:rsidP="006D7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567FD4" w:rsidRDefault="00A44454">
      <w:r>
        <w:t>If I</w:t>
      </w:r>
      <w:r w:rsidR="00567FD4">
        <w:t xml:space="preserve"> merge negative and neutral net charge into one group, and decreased and neutral binding avidity into one group, then we can test on 2 x 2 </w:t>
      </w:r>
      <w:proofErr w:type="gramStart"/>
      <w:r w:rsidR="00567FD4">
        <w:t>table</w:t>
      </w:r>
      <w:proofErr w:type="gramEnd"/>
      <w:r w:rsidR="00567FD4">
        <w:t xml:space="preserve">. </w:t>
      </w:r>
    </w:p>
    <w:tbl>
      <w:tblPr>
        <w:tblW w:w="5941" w:type="dxa"/>
        <w:tblInd w:w="93" w:type="dxa"/>
        <w:tblLook w:val="04A0" w:firstRow="1" w:lastRow="0" w:firstColumn="1" w:lastColumn="0" w:noHBand="0" w:noVBand="1"/>
      </w:tblPr>
      <w:tblGrid>
        <w:gridCol w:w="1340"/>
        <w:gridCol w:w="80"/>
        <w:gridCol w:w="1280"/>
        <w:gridCol w:w="541"/>
        <w:gridCol w:w="1438"/>
        <w:gridCol w:w="1360"/>
      </w:tblGrid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2C3A7D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Binding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2C3A7D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Net</w:t>
            </w:r>
            <w:r w:rsidR="002C3A7D"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Pr="002C3A7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charge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Decrease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 Neutral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(-1 or 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Increase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d(+1)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&lt;=0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2C3A7D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&gt;0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006007">
        <w:trPr>
          <w:gridAfter w:val="3"/>
          <w:wAfter w:w="3241" w:type="dxa"/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67FD4" w:rsidRPr="006D7972" w:rsidTr="00006007">
        <w:trPr>
          <w:trHeight w:val="28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7972">
              <w:rPr>
                <w:rFonts w:ascii="Calibri" w:eastAsia="Times New Roman" w:hAnsi="Calibri" w:cs="Times New Roman"/>
                <w:color w:val="000000"/>
                <w:lang w:eastAsia="en-GB"/>
              </w:rPr>
              <w:t>p = 0.00333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FD4" w:rsidRPr="006D7972" w:rsidRDefault="00567FD4" w:rsidP="00006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567FD4" w:rsidRDefault="00567FD4"/>
    <w:p w:rsidR="00C72E62" w:rsidRDefault="00567FD4">
      <w:r>
        <w:t>Either way, p</w:t>
      </w:r>
      <w:r w:rsidR="006D7972">
        <w:t xml:space="preserve"> value is less t</w:t>
      </w:r>
      <w:r w:rsidR="00A44454">
        <w:t>han 0.01, which is significant.</w:t>
      </w:r>
    </w:p>
    <w:p w:rsidR="009B28BA" w:rsidRDefault="009B28BA" w:rsidP="009B28BA">
      <w:r>
        <w:t>To evaluate whether positive correlation exists between binding and net charge, ordinal logistic regression was use to evaluate whether binding avidity is positive correlated to net charge change.</w:t>
      </w:r>
      <w:r w:rsidR="00631B92">
        <w:t xml:space="preserve"> </w:t>
      </w:r>
    </w:p>
    <w:p w:rsidR="009B28BA" w:rsidRDefault="009B28BA" w:rsidP="009B28BA">
      <w:r w:rsidRPr="00A44454">
        <w:rPr>
          <w:b/>
        </w:rPr>
        <w:t>Null hypothesis H</w:t>
      </w:r>
      <w:r w:rsidRPr="00A44454">
        <w:rPr>
          <w:b/>
          <w:vertAlign w:val="subscript"/>
        </w:rPr>
        <w:t>0</w:t>
      </w:r>
      <w:r>
        <w:t>: Binding avidity is not positive correlated to net charge change.</w:t>
      </w:r>
    </w:p>
    <w:p w:rsidR="009B28BA" w:rsidRDefault="009B28BA" w:rsidP="009B28BA">
      <w:r w:rsidRPr="00A44454">
        <w:rPr>
          <w:b/>
        </w:rPr>
        <w:t>Alternative hypothesis H</w:t>
      </w:r>
      <w:r w:rsidRPr="00A44454">
        <w:rPr>
          <w:b/>
          <w:vertAlign w:val="subscript"/>
        </w:rPr>
        <w:t>1</w:t>
      </w:r>
      <w:r>
        <w:t>: Binding avidity is positive correlated to net charge change.</w:t>
      </w:r>
    </w:p>
    <w:p w:rsidR="00126575" w:rsidRDefault="00631B92">
      <w:r>
        <w:t>Using ordinal logistic regression to test the association, I got p value:</w:t>
      </w:r>
    </w:p>
    <w:p w:rsidR="00A5262F" w:rsidRDefault="00A5262F" w:rsidP="00A5262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 = 9.920866e-04</w:t>
      </w:r>
    </w:p>
    <w:p w:rsidR="00631B92" w:rsidRDefault="00631B92"/>
    <w:p w:rsidR="009B28BA" w:rsidRDefault="00631B92">
      <w:r>
        <w:t xml:space="preserve">The result shows that the alternative hypothesis that positive net charge change would lead to increased binding avidity is significantly supported.  </w:t>
      </w:r>
    </w:p>
    <w:p w:rsidR="00FD19E6" w:rsidRPr="00A44454" w:rsidRDefault="00FD19E6" w:rsidP="00A4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lastRenderedPageBreak/>
        <w:t xml:space="preserve">I further calculate the binding score </w:t>
      </w:r>
      <w:r w:rsidR="006D7972">
        <w:t>58 substitutions</w:t>
      </w:r>
      <w:r>
        <w:t xml:space="preserve"> (I exclude one substitution belong to H3) and test the association of receptor binding avidity level and computational binding score.</w:t>
      </w:r>
      <w:r w:rsidR="006D7972">
        <w:t xml:space="preserve"> </w:t>
      </w:r>
      <w:r>
        <w:t>The scatter plot is shown in</w:t>
      </w:r>
      <w:r w:rsidR="00A44454">
        <w:t xml:space="preserve"> the figure. Using one-tailed test for ordinal logistic regression, p value </w:t>
      </w:r>
      <w:r w:rsidR="00A44454" w:rsidRPr="00C72E6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0.039488814</w:t>
      </w:r>
      <w:r w:rsidR="00A4445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</w:t>
      </w:r>
      <w:r w:rsidR="00A44454">
        <w:rPr>
          <w:rFonts w:ascii="Calibri" w:hAnsi="Calibri" w:cs="Calibri"/>
          <w:color w:val="000000"/>
        </w:rPr>
        <w:t xml:space="preserve">(0.045 for one-tailed test for simple linear regression), </w:t>
      </w:r>
      <w:r>
        <w:rPr>
          <w:rFonts w:ascii="Calibri" w:hAnsi="Calibri" w:cs="Calibri"/>
          <w:color w:val="000000"/>
        </w:rPr>
        <w:t xml:space="preserve">which is </w:t>
      </w:r>
      <w:r w:rsidR="00A44454">
        <w:rPr>
          <w:rFonts w:ascii="Calibri" w:hAnsi="Calibri" w:cs="Calibri"/>
          <w:color w:val="000000"/>
        </w:rPr>
        <w:t xml:space="preserve">weakly significant. The </w:t>
      </w:r>
      <w:r>
        <w:rPr>
          <w:rFonts w:ascii="Calibri" w:hAnsi="Calibri" w:cs="Calibri"/>
          <w:color w:val="000000"/>
        </w:rPr>
        <w:t xml:space="preserve">regression </w:t>
      </w:r>
      <w:r w:rsidR="00A44454">
        <w:rPr>
          <w:rFonts w:ascii="Calibri" w:hAnsi="Calibri" w:cs="Calibri"/>
          <w:color w:val="000000"/>
        </w:rPr>
        <w:t xml:space="preserve">result </w:t>
      </w:r>
      <w:r>
        <w:rPr>
          <w:rFonts w:ascii="Calibri" w:hAnsi="Calibri" w:cs="Calibri"/>
          <w:color w:val="000000"/>
        </w:rPr>
        <w:t>support</w:t>
      </w:r>
      <w:r w:rsidR="00A44454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that computational binding score would positive correlate to experimental binding avidity level.</w:t>
      </w:r>
    </w:p>
    <w:p w:rsidR="00FD19E6" w:rsidRDefault="00FD19E6"/>
    <w:p w:rsidR="008C2DFB" w:rsidRDefault="00242515">
      <w:r>
        <w:rPr>
          <w:noProof/>
          <w:lang w:eastAsia="en-GB"/>
        </w:rPr>
        <w:drawing>
          <wp:inline distT="0" distB="0" distL="0" distR="0" wp14:anchorId="015C2182" wp14:editId="728D3C7B">
            <wp:extent cx="4221480" cy="3642360"/>
            <wp:effectExtent l="0" t="0" r="2667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C72E62" w:rsidRPr="00C72E62" w:rsidRDefault="00C72E62" w:rsidP="00C7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FD19E6" w:rsidRDefault="00FD19E6"/>
    <w:p w:rsidR="00FD19E6" w:rsidRDefault="00FD19E6">
      <w:r>
        <w:t>Conclusion:</w:t>
      </w:r>
    </w:p>
    <w:p w:rsidR="00FD19E6" w:rsidRDefault="00FD19E6">
      <w:r>
        <w:t xml:space="preserve">Both net charge changes and computational binding score are good indicator (in terms of statistical view) for predicting binding avidity level. </w:t>
      </w:r>
      <w:r w:rsidR="00A44454">
        <w:t>However, t</w:t>
      </w:r>
      <w:r>
        <w:t>he ind</w:t>
      </w:r>
      <w:r w:rsidR="00A44454">
        <w:t>ex of net charge shows even stronger</w:t>
      </w:r>
      <w:r>
        <w:t xml:space="preserve"> significant than </w:t>
      </w:r>
      <w:r w:rsidR="00A44454">
        <w:t xml:space="preserve">binding score using </w:t>
      </w:r>
      <w:r>
        <w:t>computational approach.</w:t>
      </w:r>
    </w:p>
    <w:sectPr w:rsidR="00FD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FB"/>
    <w:rsid w:val="000F76F0"/>
    <w:rsid w:val="00126575"/>
    <w:rsid w:val="001A0708"/>
    <w:rsid w:val="0021424A"/>
    <w:rsid w:val="00242515"/>
    <w:rsid w:val="002C3A7D"/>
    <w:rsid w:val="004040BB"/>
    <w:rsid w:val="00567FD4"/>
    <w:rsid w:val="00631B92"/>
    <w:rsid w:val="006D7972"/>
    <w:rsid w:val="00754778"/>
    <w:rsid w:val="008C2043"/>
    <w:rsid w:val="008C2DFB"/>
    <w:rsid w:val="009B28BA"/>
    <w:rsid w:val="00A44454"/>
    <w:rsid w:val="00A5262F"/>
    <w:rsid w:val="00BC490D"/>
    <w:rsid w:val="00BF4C01"/>
    <w:rsid w:val="00C67F4E"/>
    <w:rsid w:val="00C72E62"/>
    <w:rsid w:val="00CA1EF3"/>
    <w:rsid w:val="00D13C59"/>
    <w:rsid w:val="00E20588"/>
    <w:rsid w:val="00F22BF8"/>
    <w:rsid w:val="00F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E62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E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ing\Projects.Duke\Projects\BindingAnal\validate_netcharge\mega\test2_bindin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test2_binding!$F$1</c:f>
              <c:strCache>
                <c:ptCount val="1"/>
                <c:pt idx="0">
                  <c:v>Binding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9.770278516140897E-2"/>
                  <c:y val="0.10719423670367564"/>
                </c:manualLayout>
              </c:layout>
              <c:numFmt formatCode="General" sourceLinked="0"/>
            </c:trendlineLbl>
          </c:trendline>
          <c:xVal>
            <c:numRef>
              <c:f>test2_binding!$D$2:$D$60</c:f>
              <c:numCache>
                <c:formatCode>General</c:formatCode>
                <c:ptCount val="59"/>
                <c:pt idx="0">
                  <c:v>0</c:v>
                </c:pt>
                <c:pt idx="1">
                  <c:v>-0.22000000000000064</c:v>
                </c:pt>
                <c:pt idx="2">
                  <c:v>-0.22000000000000064</c:v>
                </c:pt>
                <c:pt idx="3">
                  <c:v>-0.39000000000000057</c:v>
                </c:pt>
                <c:pt idx="4">
                  <c:v>-0.38000000000000078</c:v>
                </c:pt>
                <c:pt idx="5">
                  <c:v>-0.24000000000000021</c:v>
                </c:pt>
                <c:pt idx="6">
                  <c:v>-0.22000000000000064</c:v>
                </c:pt>
                <c:pt idx="7">
                  <c:v>-0.22000000000000064</c:v>
                </c:pt>
                <c:pt idx="8">
                  <c:v>-8.0000000000000071E-2</c:v>
                </c:pt>
                <c:pt idx="9">
                  <c:v>5.9999999999998721E-2</c:v>
                </c:pt>
                <c:pt idx="10">
                  <c:v>-0.22000000000000064</c:v>
                </c:pt>
                <c:pt idx="11">
                  <c:v>-0.33999999999999986</c:v>
                </c:pt>
                <c:pt idx="12">
                  <c:v>-0.11000000000000121</c:v>
                </c:pt>
                <c:pt idx="13">
                  <c:v>-0.22000000000000064</c:v>
                </c:pt>
                <c:pt idx="14">
                  <c:v>-0.22000000000000064</c:v>
                </c:pt>
                <c:pt idx="15">
                  <c:v>-8.0000000000000071E-2</c:v>
                </c:pt>
                <c:pt idx="16">
                  <c:v>-0.36000000000000121</c:v>
                </c:pt>
                <c:pt idx="17">
                  <c:v>-0.22000000000000064</c:v>
                </c:pt>
                <c:pt idx="18">
                  <c:v>-0.22000000000000064</c:v>
                </c:pt>
                <c:pt idx="19">
                  <c:v>0.13000000000000078</c:v>
                </c:pt>
                <c:pt idx="20">
                  <c:v>-9.9999999999999645E-2</c:v>
                </c:pt>
                <c:pt idx="21">
                  <c:v>1.9999999999999574E-2</c:v>
                </c:pt>
                <c:pt idx="22">
                  <c:v>-0.11000000000000121</c:v>
                </c:pt>
                <c:pt idx="23">
                  <c:v>9.9999999999997868E-3</c:v>
                </c:pt>
                <c:pt idx="24">
                  <c:v>-0.13000000000000078</c:v>
                </c:pt>
                <c:pt idx="25">
                  <c:v>-0.36000000000000121</c:v>
                </c:pt>
                <c:pt idx="26">
                  <c:v>-0.22000000000000064</c:v>
                </c:pt>
                <c:pt idx="27">
                  <c:v>-0.22000000000000064</c:v>
                </c:pt>
                <c:pt idx="28">
                  <c:v>-0.34999999999999964</c:v>
                </c:pt>
                <c:pt idx="29">
                  <c:v>-0.22000000000000064</c:v>
                </c:pt>
                <c:pt idx="30">
                  <c:v>-0.47000000000000064</c:v>
                </c:pt>
                <c:pt idx="31">
                  <c:v>-8.9999999999999858E-2</c:v>
                </c:pt>
                <c:pt idx="32">
                  <c:v>-0.22000000000000064</c:v>
                </c:pt>
                <c:pt idx="33">
                  <c:v>-0.22000000000000064</c:v>
                </c:pt>
                <c:pt idx="34">
                  <c:v>-0.22000000000000064</c:v>
                </c:pt>
                <c:pt idx="35">
                  <c:v>-0.37000000000000099</c:v>
                </c:pt>
                <c:pt idx="36">
                  <c:v>-7.0000000000000284E-2</c:v>
                </c:pt>
                <c:pt idx="37">
                  <c:v>-0.22000000000000064</c:v>
                </c:pt>
                <c:pt idx="38">
                  <c:v>-0.22000000000000064</c:v>
                </c:pt>
                <c:pt idx="39">
                  <c:v>-0.11000000000000121</c:v>
                </c:pt>
                <c:pt idx="40">
                  <c:v>-0.11000000000000121</c:v>
                </c:pt>
                <c:pt idx="41">
                  <c:v>-0.22000000000000064</c:v>
                </c:pt>
                <c:pt idx="42">
                  <c:v>-0.13000000000000078</c:v>
                </c:pt>
                <c:pt idx="43">
                  <c:v>-9.9999999999999645E-2</c:v>
                </c:pt>
                <c:pt idx="44">
                  <c:v>-0.15000000000000036</c:v>
                </c:pt>
                <c:pt idx="45">
                  <c:v>-0.37000000000000099</c:v>
                </c:pt>
                <c:pt idx="46">
                  <c:v>0</c:v>
                </c:pt>
                <c:pt idx="47">
                  <c:v>0.39000000000000057</c:v>
                </c:pt>
                <c:pt idx="48">
                  <c:v>-0.33000000000000007</c:v>
                </c:pt>
                <c:pt idx="49">
                  <c:v>0</c:v>
                </c:pt>
                <c:pt idx="50">
                  <c:v>-0.36000000000000121</c:v>
                </c:pt>
                <c:pt idx="51">
                  <c:v>-7.0000000000000284E-2</c:v>
                </c:pt>
                <c:pt idx="52">
                  <c:v>-0.22000000000000064</c:v>
                </c:pt>
                <c:pt idx="53">
                  <c:v>-9.9999999999999645E-2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-0.47000000000000064</c:v>
                </c:pt>
                <c:pt idx="58">
                  <c:v>0</c:v>
                </c:pt>
              </c:numCache>
            </c:numRef>
          </c:xVal>
          <c:yVal>
            <c:numRef>
              <c:f>test2_binding!$F$2:$F$60</c:f>
              <c:numCache>
                <c:formatCode>General</c:formatCode>
                <c:ptCount val="5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-1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-1</c:v>
                </c:pt>
                <c:pt idx="14">
                  <c:v>0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-1</c:v>
                </c:pt>
                <c:pt idx="28">
                  <c:v>0</c:v>
                </c:pt>
                <c:pt idx="29">
                  <c:v>1</c:v>
                </c:pt>
                <c:pt idx="30">
                  <c:v>-1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-1</c:v>
                </c:pt>
                <c:pt idx="42">
                  <c:v>1</c:v>
                </c:pt>
                <c:pt idx="43">
                  <c:v>1</c:v>
                </c:pt>
                <c:pt idx="44">
                  <c:v>-1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-1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1</c:v>
                </c:pt>
                <c:pt idx="54">
                  <c:v>-1</c:v>
                </c:pt>
                <c:pt idx="55">
                  <c:v>1</c:v>
                </c:pt>
                <c:pt idx="56">
                  <c:v>0</c:v>
                </c:pt>
                <c:pt idx="57">
                  <c:v>1</c:v>
                </c:pt>
                <c:pt idx="58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156032"/>
        <c:axId val="39642240"/>
      </c:scatterChart>
      <c:valAx>
        <c:axId val="172156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Computational</a:t>
                </a:r>
                <a:r>
                  <a:rPr lang="en-GB" baseline="0"/>
                  <a:t> Binding Score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642240"/>
        <c:crosses val="autoZero"/>
        <c:crossBetween val="midCat"/>
      </c:valAx>
      <c:valAx>
        <c:axId val="3964224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Receptor</a:t>
                </a:r>
                <a:r>
                  <a:rPr lang="en-GB" baseline="0"/>
                  <a:t> Binding Avidity level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1560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Hsiang-Yu Yuan</dc:creator>
  <cp:lastModifiedBy>Hsiang-Yu Yuan</cp:lastModifiedBy>
  <cp:revision>2</cp:revision>
  <cp:lastPrinted>2014-08-27T21:28:00Z</cp:lastPrinted>
  <dcterms:created xsi:type="dcterms:W3CDTF">2014-09-08T15:01:00Z</dcterms:created>
  <dcterms:modified xsi:type="dcterms:W3CDTF">2014-09-08T15:01:00Z</dcterms:modified>
</cp:coreProperties>
</file>