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28"/>
          <w:szCs w:val="28"/>
        </w:rPr>
        <w:t xml:space="preserve">HACKENSACK POLICE DEPARTMENT</w:t>
      </w:r>
    </w:p>
    <w:p>
      <w:pPr>
        <w:spacing w:after="40"/>
        <w:jc w:val="center"/>
      </w:pPr>
      <w:r>
        <w:rPr>
          <w:rFonts w:ascii="Arial" w:cs="Arial" w:eastAsia="Arial" w:hAnsi="Arial"/>
          <w:b/>
          <w:bCs/>
          <w:color w:val="1F3864"/>
          <w:sz w:val="24"/>
          <w:szCs w:val="24"/>
        </w:rPr>
        <w:t xml:space="preserve">Response Time Analytics — Executive Brief</w:t>
      </w:r>
    </w:p>
    <w:p>
      <w:pPr>
        <w:pBdr>
          <w:bottom w:val="single" w:color="1F3864" w:sz="6" w:space="1"/>
        </w:pBdr>
        <w:spacing w:after="200"/>
        <w:jc w:val="center"/>
      </w:pPr>
      <w:r>
        <w:rPr>
          <w:rFonts w:ascii="Arial" w:cs="Arial" w:eastAsia="Arial" w:hAnsi="Arial"/>
          <w:color w:val="666666"/>
          <w:sz w:val="20"/>
          <w:szCs w:val="20"/>
        </w:rPr>
        <w:t xml:space="preserve">February 26, 2026  |  Prepared by: Principal Analyst R. A. Carucci</w:t>
      </w:r>
    </w:p>
    <w:p>
      <w:pPr>
        <w:pStyle w:val="Heading2"/>
      </w:pPr>
      <w:r>
        <w:t xml:space="preserve">What Each Visual Measures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4280"/>
      </w:tblGrid>
      <w:tr>
        <w:tc>
          <w:tcPr>
            <w:tcW w:type="dxa" w:w="3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Visual</w:t>
            </w:r>
          </w:p>
        </w:tc>
        <w:tc>
          <w:tcPr>
            <w:tcW w:type="dxa" w:w="2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Formula</w:t>
            </w:r>
          </w:p>
        </w:tc>
        <w:tc>
          <w:tcPr>
            <w:tcW w:type="dxa" w:w="42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What It Tells Us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Dispatch to On Scene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Time Out − Time Dispatched</w:t>
            </w:r>
          </w:p>
        </w:tc>
        <w:tc>
          <w:tcPr>
            <w:tcW w:type="dxa" w:w="42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How long it takes the officer to travel from dispatch to arrival. Measures patrol efficiency.</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Time Received to On Scene</w:t>
            </w:r>
          </w:p>
        </w:tc>
        <w:tc>
          <w:tcPr>
            <w:tcW w:type="dxa" w:w="2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Time Out − Time of Call</w:t>
            </w:r>
          </w:p>
        </w:tc>
        <w:tc>
          <w:tcPr>
            <w:tcW w:type="dxa" w:w="42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Total time from when a citizen’s call is received until an officer arrives. This is the citizen’s experience of response time.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Dispatch Processing Time (new)</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Time Dispatched − Time of Call</w:t>
            </w:r>
          </w:p>
        </w:tc>
        <w:tc>
          <w:tcPr>
            <w:tcW w:type="dxa" w:w="42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Time spent by dispatch to process, triage, and assign the call before an officer is sent. This is the gap between the two visuals above.</w:t>
            </w:r>
          </w:p>
        </w:tc>
      </w:tr>
    </w:tbl>
    <w:p>
      <w:pPr>
        <w:spacing w:before="40" w:after="40"/>
      </w:pPr>
      <w:r>
        <w:rPr>
          <w:rFonts w:ascii="Arial" w:cs="Arial" w:eastAsia="Arial" w:hAnsi="Arial"/>
          <w:b/>
          <w:bCs/>
          <w:sz w:val="20"/>
          <w:szCs w:val="20"/>
        </w:rPr>
        <w:t xml:space="preserve">Standard: </w:t>
      </w:r>
      <w:r>
        <w:rPr>
          <w:rFonts w:ascii="Arial" w:cs="Arial" w:eastAsia="Arial" w:hAnsi="Arial"/>
          <w:sz w:val="20"/>
          <w:szCs w:val="20"/>
        </w:rPr>
        <w:t xml:space="preserve">All metrics use only the first-arriving officer per incident, consistent with NFPA 1710 and CALEA standards. Records are deduplicated so each call is counted once.</w:t>
      </w:r>
    </w:p>
    <w:p>
      <w:pPr>
        <w:pStyle w:val="Heading2"/>
      </w:pPr>
      <w:r>
        <w:t xml:space="preserve">Why Emergency Total Response Is Higher Than Dispatch-to-Scene</w:t>
      </w:r>
    </w:p>
    <w:p>
      <w:pPr>
        <w:spacing w:after="80"/>
      </w:pPr>
      <w:r>
        <w:rPr>
          <w:rFonts w:ascii="Arial" w:cs="Arial" w:eastAsia="Arial" w:hAnsi="Arial"/>
          <w:sz w:val="20"/>
          <w:szCs w:val="20"/>
        </w:rPr>
        <w:t xml:space="preserve">Looking at January 2026 as an example, Emergency calls show approximately 5:02 for total response (Time Received to On Scene) versus 3:11 for officer travel time (Dispatch to On Scene). The roughly 2-minute difference represents dispatch processing time. This gap is larger for Emergency calls than for Routine calls because:</w:t>
      </w:r>
    </w:p>
    <w:p>
      <w:pPr>
        <w:spacing w:after="40"/>
        <w:ind w:left="360"/>
      </w:pPr>
      <w:r>
        <w:rPr>
          <w:rFonts w:ascii="Arial" w:cs="Arial" w:eastAsia="Arial" w:hAnsi="Arial"/>
          <w:sz w:val="20"/>
          <w:szCs w:val="20"/>
        </w:rPr>
        <w:t xml:space="preserve">•  Emergency calls require dispatchers to gather critical safety information (weapons, injuries, suspect descriptions) before sending officers.</w:t>
      </w:r>
    </w:p>
    <w:p>
      <w:pPr>
        <w:spacing w:after="40"/>
        <w:ind w:left="360"/>
      </w:pPr>
      <w:r>
        <w:rPr>
          <w:rFonts w:ascii="Arial" w:cs="Arial" w:eastAsia="Arial" w:hAnsi="Arial"/>
          <w:sz w:val="20"/>
          <w:szCs w:val="20"/>
        </w:rPr>
        <w:t xml:space="preserve">•  Multiple units are frequently dispatched to Emergency calls (28% of all calls involve multiple responding units), requiring additional coordination time.</w:t>
      </w:r>
    </w:p>
    <w:p>
      <w:pPr>
        <w:spacing w:after="40"/>
        <w:ind w:left="360"/>
      </w:pPr>
      <w:r>
        <w:rPr>
          <w:rFonts w:ascii="Arial" w:cs="Arial" w:eastAsia="Arial" w:hAnsi="Arial"/>
          <w:sz w:val="20"/>
          <w:szCs w:val="20"/>
        </w:rPr>
        <w:t xml:space="preserve">•  Routine calls are often officer-initiated (traffic stops, directed patrols) with minimal dispatcher processing, which pulls the Routine dispatch time down to about 1 minute.</w:t>
      </w:r>
    </w:p>
    <w:p>
      <w:pPr>
        <w:spacing w:before="40" w:after="40"/>
      </w:pPr>
      <w:r>
        <w:rPr>
          <w:rFonts w:ascii="Arial" w:cs="Arial" w:eastAsia="Arial" w:hAnsi="Arial"/>
          <w:b/>
          <w:bCs/>
          <w:sz w:val="20"/>
          <w:szCs w:val="20"/>
        </w:rPr>
        <w:t xml:space="preserve">Bottom line: </w:t>
      </w:r>
      <w:r>
        <w:rPr>
          <w:rFonts w:ascii="Arial" w:cs="Arial" w:eastAsia="Arial" w:hAnsi="Arial"/>
          <w:sz w:val="20"/>
          <w:szCs w:val="20"/>
        </w:rPr>
        <w:t xml:space="preserve">The higher Emergency total response time is expected and reflects the additional care dispatchers take to ensure officer safety on high-priority calls.</w:t>
      </w:r>
    </w:p>
    <w:p>
      <w:pPr>
        <w:pStyle w:val="Heading2"/>
      </w:pPr>
      <w:r>
        <w:t xml:space="preserve">Data Quality &amp; Accuracy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Item</w:t>
            </w:r>
          </w:p>
        </w:tc>
        <w:tc>
          <w:tcPr>
            <w:tcW w:type="dxa" w:w="70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Data Sources</w:t>
            </w:r>
          </w:p>
        </w:tc>
        <w:tc>
          <w:tcPr>
            <w:tcW w:type="dxa" w:w="7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Raw CAD timereport exports for 2024, 2025, and January 2026 (25 months total). Processed from original source data, not pre-aggregated summaries.</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Response Type Classification</w:t>
            </w:r>
          </w:p>
        </w:tc>
        <w:tc>
          <w:tcPr>
            <w:tcW w:type="dxa" w:w="7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99.99% of all records classified as Emergency, Urgent, or Routine via a three-tier resolution process using CAD data and a 664-entry reference table.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Outlier Filtering</w:t>
            </w:r>
          </w:p>
        </w:tc>
        <w:tc>
          <w:tcPr>
            <w:tcW w:type="dxa" w:w="7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Response times outside 0–10 minutes are excluded to remove data entry errors and non-standard responses. This is applied consistently across all metrics.</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Quality Assurance In Progress</w:t>
            </w:r>
          </w:p>
        </w:tc>
        <w:tc>
          <w:tcPr>
            <w:tcW w:type="dxa" w:w="7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A technical review identified a refinement needed in the deduplication logic to ensure the first-arriving unit is consistently selected for multi-unit calls. This correction is being applied and all data will be reprocessed before final reporting. The expected impact on average response times is minor.</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Rolling Window</w:t>
            </w:r>
          </w:p>
        </w:tc>
        <w:tc>
          <w:tcPr>
            <w:tcW w:type="dxa" w:w="7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All visuals display a rolling 13-month window ending with the last complete month, ensuring consistent and comparable trend analysis.</w:t>
            </w:r>
          </w:p>
        </w:tc>
      </w:tr>
    </w:tbl>
    <w:p>
      <w:pPr>
        <w:spacing w:before="120" w:after="40"/>
      </w:pPr>
      <w:r>
        <w:rPr>
          <w:rFonts w:ascii="Arial" w:cs="Arial" w:eastAsia="Arial" w:hAnsi="Arial"/>
          <w:sz w:val="20"/>
          <w:szCs w:val="20"/>
        </w:rPr>
        <w:t xml:space="preserve">The analytics team continuously validates data processing against documented standards and corrects issues before they reach production reporting. The response time pipeline is built on raw CAD data and produces all calculations through auditable Python scripts with full version control.</w:t>
      </w:r>
    </w:p>
    <w:p>
      <w:pPr>
        <w:pBdr>
          <w:top w:val="single" w:color="1F3864" w:sz="4" w:space="1"/>
        </w:pBdr>
        <w:spacing w:before="200"/>
      </w:pPr>
      <w:r>
        <w:rPr>
          <w:rFonts w:ascii="Arial" w:cs="Arial" w:eastAsia="Arial" w:hAnsi="Arial"/>
          <w:i/>
          <w:iCs/>
          <w:color w:val="888888"/>
          <w:sz w:val="18"/>
          <w:szCs w:val="18"/>
        </w:rPr>
        <w:t xml:space="preserve">Questions: Contact Principal Analyst R. A. Carucci  |  Master_Automation v1.17.14  |  Data through January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2026-02-27T03:45:33.463Z</dcterms:created>
  <dcterms:modified xsi:type="dcterms:W3CDTF">2026-02-27T03:45:33.485Z</dcterms:modified>
</cp:coreProperties>
</file>

<file path=docProps/custom.xml><?xml version="1.0" encoding="utf-8"?>
<Properties xmlns="http://schemas.openxmlformats.org/officeDocument/2006/custom-properties" xmlns:vt="http://schemas.openxmlformats.org/officeDocument/2006/docPropsVTypes"/>
</file>